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27D31" w14:textId="77777777" w:rsidR="00CA0550" w:rsidRDefault="00CA0550" w:rsidP="0017731A">
      <w:pPr>
        <w:autoSpaceDE w:val="0"/>
        <w:autoSpaceDN w:val="0"/>
        <w:adjustRightInd w:val="0"/>
        <w:spacing w:line="280" w:lineRule="exact"/>
        <w:ind w:left="5670" w:right="-82"/>
        <w:jc w:val="both"/>
        <w:rPr>
          <w:rFonts w:eastAsia="Lucida Sans Unicode"/>
          <w:kern w:val="2"/>
          <w:sz w:val="30"/>
          <w:szCs w:val="30"/>
        </w:rPr>
      </w:pPr>
      <w:r>
        <w:rPr>
          <w:rFonts w:eastAsia="Lucida Sans Unicode"/>
          <w:kern w:val="2"/>
          <w:sz w:val="30"/>
          <w:szCs w:val="30"/>
        </w:rPr>
        <w:t xml:space="preserve">УТВЕРЖДЕНО </w:t>
      </w:r>
    </w:p>
    <w:p w14:paraId="0169C607" w14:textId="77777777" w:rsidR="00CA0550" w:rsidRDefault="00CA0550" w:rsidP="0017731A">
      <w:pPr>
        <w:autoSpaceDE w:val="0"/>
        <w:autoSpaceDN w:val="0"/>
        <w:adjustRightInd w:val="0"/>
        <w:spacing w:line="280" w:lineRule="exact"/>
        <w:ind w:left="5670" w:right="-82"/>
        <w:rPr>
          <w:rFonts w:eastAsia="Lucida Sans Unicode"/>
          <w:kern w:val="2"/>
          <w:sz w:val="30"/>
          <w:szCs w:val="30"/>
        </w:rPr>
      </w:pPr>
      <w:r>
        <w:rPr>
          <w:rFonts w:eastAsia="Lucida Sans Unicode"/>
          <w:kern w:val="2"/>
          <w:sz w:val="30"/>
          <w:szCs w:val="30"/>
        </w:rPr>
        <w:t xml:space="preserve">Протокол заседания Наблюдательного совета ОАО «Белорусская универсальная товарная биржа» </w:t>
      </w:r>
    </w:p>
    <w:p w14:paraId="51DEAC85" w14:textId="77777777" w:rsidR="00CA0550" w:rsidRDefault="00CA0550" w:rsidP="0017731A">
      <w:pPr>
        <w:autoSpaceDE w:val="0"/>
        <w:autoSpaceDN w:val="0"/>
        <w:adjustRightInd w:val="0"/>
        <w:spacing w:before="120" w:line="280" w:lineRule="exact"/>
        <w:ind w:left="5670" w:right="-79"/>
        <w:rPr>
          <w:rFonts w:eastAsia="Lucida Sans Unicode"/>
          <w:kern w:val="2"/>
          <w:sz w:val="30"/>
          <w:szCs w:val="30"/>
        </w:rPr>
      </w:pPr>
      <w:r>
        <w:rPr>
          <w:rFonts w:eastAsia="Lucida Sans Unicode"/>
          <w:kern w:val="2"/>
          <w:sz w:val="30"/>
          <w:szCs w:val="30"/>
        </w:rPr>
        <w:t>26.12.2024 № 30</w:t>
      </w:r>
    </w:p>
    <w:p w14:paraId="668D4A13" w14:textId="77777777" w:rsidR="00CA0550" w:rsidRDefault="00CA0550" w:rsidP="00CA0550">
      <w:pPr>
        <w:widowControl w:val="0"/>
        <w:suppressAutoHyphens/>
        <w:jc w:val="both"/>
        <w:rPr>
          <w:rFonts w:eastAsia="Lucida Sans Unicode"/>
          <w:kern w:val="2"/>
          <w:sz w:val="30"/>
          <w:szCs w:val="30"/>
        </w:rPr>
      </w:pPr>
    </w:p>
    <w:p w14:paraId="555FA573" w14:textId="77777777" w:rsidR="00CA0550" w:rsidRDefault="00CA0550" w:rsidP="00CA0550">
      <w:pPr>
        <w:spacing w:line="280" w:lineRule="exact"/>
        <w:jc w:val="center"/>
        <w:rPr>
          <w:sz w:val="30"/>
          <w:szCs w:val="30"/>
        </w:rPr>
      </w:pPr>
      <w:r>
        <w:rPr>
          <w:sz w:val="30"/>
          <w:szCs w:val="30"/>
        </w:rPr>
        <w:t xml:space="preserve">Временные ставки биржевого сбора, </w:t>
      </w:r>
    </w:p>
    <w:p w14:paraId="515B11DB" w14:textId="77777777" w:rsidR="00CA0550" w:rsidRDefault="00CA0550" w:rsidP="00CA0550">
      <w:pPr>
        <w:spacing w:line="280" w:lineRule="exact"/>
        <w:jc w:val="center"/>
        <w:rPr>
          <w:sz w:val="30"/>
          <w:szCs w:val="30"/>
        </w:rPr>
      </w:pPr>
      <w:r>
        <w:rPr>
          <w:sz w:val="30"/>
          <w:szCs w:val="30"/>
        </w:rPr>
        <w:t xml:space="preserve">взимаемого ОАО «Белорусская универсальная товарная биржа» </w:t>
      </w:r>
    </w:p>
    <w:p w14:paraId="2DC8D9AC" w14:textId="77777777" w:rsidR="00CA0550" w:rsidRDefault="00CA0550" w:rsidP="00CA0550">
      <w:pPr>
        <w:spacing w:line="280" w:lineRule="exact"/>
        <w:jc w:val="center"/>
        <w:rPr>
          <w:sz w:val="30"/>
          <w:szCs w:val="30"/>
        </w:rPr>
      </w:pPr>
      <w:r>
        <w:rPr>
          <w:sz w:val="30"/>
          <w:szCs w:val="30"/>
        </w:rPr>
        <w:t xml:space="preserve">при организации и проведении биржевых торгов арматурным прокатом </w:t>
      </w:r>
    </w:p>
    <w:p w14:paraId="0D537088" w14:textId="77777777" w:rsidR="00CA0550" w:rsidRDefault="00CA0550" w:rsidP="00CA0550">
      <w:pPr>
        <w:spacing w:line="280" w:lineRule="exact"/>
        <w:jc w:val="center"/>
        <w:rPr>
          <w:bCs/>
          <w:sz w:val="30"/>
          <w:szCs w:val="30"/>
        </w:rPr>
      </w:pPr>
      <w:r>
        <w:rPr>
          <w:sz w:val="30"/>
          <w:szCs w:val="30"/>
        </w:rPr>
        <w:t>на внутренний рынок</w:t>
      </w:r>
      <w:r>
        <w:rPr>
          <w:bCs/>
          <w:sz w:val="30"/>
          <w:szCs w:val="30"/>
        </w:rPr>
        <w:t xml:space="preserve"> </w:t>
      </w:r>
      <w:bookmarkStart w:id="0" w:name="_Hlk185335927"/>
      <w:r>
        <w:rPr>
          <w:bCs/>
          <w:sz w:val="30"/>
          <w:szCs w:val="30"/>
        </w:rPr>
        <w:t xml:space="preserve">по заключению сделок </w:t>
      </w:r>
    </w:p>
    <w:p w14:paraId="5510CB1A" w14:textId="77777777" w:rsidR="00CA0550" w:rsidRDefault="00CA0550" w:rsidP="00CA0550">
      <w:pPr>
        <w:spacing w:line="280" w:lineRule="exact"/>
        <w:jc w:val="center"/>
        <w:rPr>
          <w:bCs/>
          <w:sz w:val="30"/>
          <w:szCs w:val="30"/>
        </w:rPr>
      </w:pPr>
      <w:r>
        <w:rPr>
          <w:bCs/>
          <w:sz w:val="30"/>
          <w:szCs w:val="30"/>
        </w:rPr>
        <w:t xml:space="preserve">между белорусскими производителями и </w:t>
      </w:r>
    </w:p>
    <w:p w14:paraId="004C790B" w14:textId="77777777" w:rsidR="00CA0550" w:rsidRDefault="00CA0550" w:rsidP="00CA0550">
      <w:pPr>
        <w:spacing w:after="300" w:line="280" w:lineRule="exact"/>
        <w:jc w:val="center"/>
        <w:rPr>
          <w:sz w:val="30"/>
          <w:szCs w:val="30"/>
        </w:rPr>
      </w:pPr>
      <w:r>
        <w:rPr>
          <w:bCs/>
          <w:sz w:val="30"/>
          <w:szCs w:val="30"/>
        </w:rPr>
        <w:t>их сбытовыми организациями</w:t>
      </w:r>
      <w:bookmarkEnd w:id="0"/>
      <w:r>
        <w:rPr>
          <w:sz w:val="30"/>
          <w:szCs w:val="30"/>
          <w:vertAlign w:val="superscript"/>
        </w:rPr>
        <w:t>1, 2</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gridCol w:w="3349"/>
      </w:tblGrid>
      <w:tr w:rsidR="00CA0550" w14:paraId="35A1DB33" w14:textId="77777777" w:rsidTr="00CA0550">
        <w:trPr>
          <w:trHeight w:val="646"/>
        </w:trPr>
        <w:tc>
          <w:tcPr>
            <w:tcW w:w="6177" w:type="dxa"/>
            <w:tcBorders>
              <w:top w:val="single" w:sz="4" w:space="0" w:color="auto"/>
              <w:left w:val="single" w:sz="4" w:space="0" w:color="auto"/>
              <w:bottom w:val="single" w:sz="4" w:space="0" w:color="auto"/>
              <w:right w:val="single" w:sz="4" w:space="0" w:color="auto"/>
            </w:tcBorders>
            <w:vAlign w:val="center"/>
            <w:hideMark/>
          </w:tcPr>
          <w:p w14:paraId="10CC513F" w14:textId="77777777" w:rsidR="00CA0550" w:rsidRDefault="00CA0550">
            <w:pPr>
              <w:spacing w:line="280" w:lineRule="exact"/>
              <w:jc w:val="center"/>
              <w:rPr>
                <w:sz w:val="30"/>
                <w:szCs w:val="30"/>
              </w:rPr>
            </w:pPr>
            <w:r>
              <w:rPr>
                <w:sz w:val="30"/>
                <w:szCs w:val="30"/>
              </w:rPr>
              <w:t>Условия взимания биржевого сбора</w:t>
            </w:r>
          </w:p>
        </w:tc>
        <w:tc>
          <w:tcPr>
            <w:tcW w:w="3349" w:type="dxa"/>
            <w:tcBorders>
              <w:top w:val="single" w:sz="4" w:space="0" w:color="auto"/>
              <w:left w:val="single" w:sz="4" w:space="0" w:color="auto"/>
              <w:bottom w:val="single" w:sz="4" w:space="0" w:color="auto"/>
              <w:right w:val="single" w:sz="4" w:space="0" w:color="auto"/>
            </w:tcBorders>
            <w:vAlign w:val="center"/>
            <w:hideMark/>
          </w:tcPr>
          <w:p w14:paraId="0955A4D9" w14:textId="77777777" w:rsidR="00CA0550" w:rsidRDefault="00CA0550">
            <w:pPr>
              <w:spacing w:line="300" w:lineRule="exact"/>
              <w:jc w:val="center"/>
              <w:rPr>
                <w:sz w:val="30"/>
                <w:szCs w:val="30"/>
                <w:lang w:val="en-US"/>
              </w:rPr>
            </w:pPr>
            <w:r>
              <w:rPr>
                <w:sz w:val="30"/>
                <w:szCs w:val="30"/>
              </w:rPr>
              <w:t>Размер ставки</w:t>
            </w:r>
            <w:r>
              <w:rPr>
                <w:sz w:val="30"/>
                <w:szCs w:val="30"/>
                <w:vertAlign w:val="superscript"/>
              </w:rPr>
              <w:t xml:space="preserve"> 3</w:t>
            </w:r>
          </w:p>
        </w:tc>
      </w:tr>
      <w:tr w:rsidR="00CA0550" w14:paraId="5290ED69" w14:textId="77777777" w:rsidTr="00CA0550">
        <w:trPr>
          <w:trHeight w:val="1691"/>
        </w:trPr>
        <w:tc>
          <w:tcPr>
            <w:tcW w:w="6177" w:type="dxa"/>
            <w:tcBorders>
              <w:top w:val="single" w:sz="4" w:space="0" w:color="auto"/>
              <w:left w:val="single" w:sz="4" w:space="0" w:color="auto"/>
              <w:bottom w:val="single" w:sz="4" w:space="0" w:color="auto"/>
              <w:right w:val="single" w:sz="4" w:space="0" w:color="auto"/>
            </w:tcBorders>
            <w:vAlign w:val="center"/>
            <w:hideMark/>
          </w:tcPr>
          <w:p w14:paraId="1D6312AC" w14:textId="77777777" w:rsidR="00CA0550" w:rsidRDefault="00CA0550">
            <w:pPr>
              <w:keepLines/>
              <w:spacing w:line="280" w:lineRule="exact"/>
              <w:jc w:val="both"/>
              <w:rPr>
                <w:sz w:val="30"/>
                <w:szCs w:val="30"/>
              </w:rPr>
            </w:pPr>
            <w:r>
              <w:rPr>
                <w:sz w:val="30"/>
                <w:szCs w:val="30"/>
              </w:rPr>
              <w:t>С участников биржевой торговли – белорусских производителей, реализующих произведенный арматурный прокат (код 7213, 7214, 7215, 7217, 7227, 7228 Товарной номенклатуры внешнеэкономической деятельности Евразийского экономического союза) на внутренний рынок их сбытовым организациям (официальным торговым представителям)</w:t>
            </w:r>
          </w:p>
        </w:tc>
        <w:tc>
          <w:tcPr>
            <w:tcW w:w="3349" w:type="dxa"/>
            <w:tcBorders>
              <w:top w:val="single" w:sz="4" w:space="0" w:color="auto"/>
              <w:left w:val="single" w:sz="4" w:space="0" w:color="auto"/>
              <w:bottom w:val="single" w:sz="4" w:space="0" w:color="auto"/>
              <w:right w:val="single" w:sz="4" w:space="0" w:color="auto"/>
            </w:tcBorders>
            <w:hideMark/>
          </w:tcPr>
          <w:p w14:paraId="7CCFFFB0" w14:textId="77777777" w:rsidR="00CA0550" w:rsidRDefault="00CA0550">
            <w:pPr>
              <w:spacing w:line="280" w:lineRule="exact"/>
              <w:rPr>
                <w:sz w:val="30"/>
                <w:szCs w:val="30"/>
              </w:rPr>
            </w:pPr>
            <w:r>
              <w:rPr>
                <w:sz w:val="30"/>
                <w:szCs w:val="30"/>
              </w:rPr>
              <w:t>0,01 % от суммы совершенной биржевой сделки</w:t>
            </w:r>
          </w:p>
        </w:tc>
      </w:tr>
    </w:tbl>
    <w:p w14:paraId="1CF0B355" w14:textId="77777777" w:rsidR="00CA0550" w:rsidRDefault="00CA0550" w:rsidP="00CA0550">
      <w:pPr>
        <w:jc w:val="both"/>
        <w:rPr>
          <w:sz w:val="30"/>
          <w:szCs w:val="30"/>
          <w:vertAlign w:val="superscript"/>
        </w:rPr>
      </w:pPr>
    </w:p>
    <w:p w14:paraId="591C83B7" w14:textId="77777777" w:rsidR="00CA0550" w:rsidRDefault="00CA0550" w:rsidP="00CA0550">
      <w:pPr>
        <w:tabs>
          <w:tab w:val="left" w:pos="360"/>
        </w:tabs>
        <w:jc w:val="both"/>
      </w:pPr>
      <w:r>
        <w:rPr>
          <w:vertAlign w:val="superscript"/>
        </w:rPr>
        <w:t>1</w:t>
      </w:r>
      <w:r>
        <w:t> Временные ставки биржевого сбора вступают в силу с 3 января 2025 г. и действуют по 31 декабря 2025 г. (включительно). В указанный период при реализации на биржевых торгах арматурного проката белорусскими производителями на внутреннем рынке не применяются ставки биржевого сбора, взимаемого ОАО «Белорусская универсальная товарная биржа», утвержденные протоколом заседания Наблюдательного совета ОАО «Белорусская универсальная товарная биржа» от 18 августа 2009 г. № 7.</w:t>
      </w:r>
    </w:p>
    <w:p w14:paraId="35F5FA65" w14:textId="77777777" w:rsidR="00CA0550" w:rsidRDefault="00CA0550" w:rsidP="00CA0550">
      <w:pPr>
        <w:tabs>
          <w:tab w:val="left" w:pos="360"/>
        </w:tabs>
        <w:jc w:val="both"/>
      </w:pPr>
      <w:r>
        <w:rPr>
          <w:vertAlign w:val="superscript"/>
        </w:rPr>
        <w:t>2</w:t>
      </w:r>
      <w:r>
        <w:t> Биржевой сбор уплачивается на основании реестра сделок участника биржевой торговли.</w:t>
      </w:r>
    </w:p>
    <w:p w14:paraId="3893B249" w14:textId="77777777" w:rsidR="00CA0550" w:rsidRDefault="00CA0550" w:rsidP="00CA0550">
      <w:pPr>
        <w:tabs>
          <w:tab w:val="left" w:pos="360"/>
        </w:tabs>
        <w:jc w:val="both"/>
      </w:pPr>
      <w:r>
        <w:rPr>
          <w:vertAlign w:val="superscript"/>
        </w:rPr>
        <w:t>3</w:t>
      </w:r>
      <w:r>
        <w:t> Ставки биржевого сбора установлены без учета НДС.</w:t>
      </w:r>
    </w:p>
    <w:p w14:paraId="13B58130" w14:textId="2CD71C33" w:rsidR="00A045CF" w:rsidRDefault="00A045CF">
      <w:pPr>
        <w:rPr>
          <w:sz w:val="30"/>
          <w:szCs w:val="30"/>
        </w:rPr>
      </w:pPr>
    </w:p>
    <w:p w14:paraId="53618AA2" w14:textId="60105097" w:rsidR="00C57BB0" w:rsidRDefault="00C57BB0">
      <w:pPr>
        <w:rPr>
          <w:sz w:val="30"/>
          <w:szCs w:val="30"/>
        </w:rPr>
      </w:pPr>
    </w:p>
    <w:p w14:paraId="6CF08A05" w14:textId="77777777" w:rsidR="00C57BB0" w:rsidRDefault="00C57BB0">
      <w:bookmarkStart w:id="1" w:name="_GoBack"/>
      <w:bookmarkEnd w:id="1"/>
    </w:p>
    <w:sectPr w:rsidR="00C57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50"/>
    <w:rsid w:val="0017731A"/>
    <w:rsid w:val="00A045CF"/>
    <w:rsid w:val="00C57BB0"/>
    <w:rsid w:val="00CA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6E8E"/>
  <w15:chartTrackingRefBased/>
  <w15:docId w15:val="{6634D305-743C-4576-979E-EDC5AF22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Татьяна Ивановна</dc:creator>
  <cp:keywords/>
  <dc:description/>
  <cp:lastModifiedBy>Мельник Татьяна Ивановна</cp:lastModifiedBy>
  <cp:revision>3</cp:revision>
  <dcterms:created xsi:type="dcterms:W3CDTF">2024-12-30T13:01:00Z</dcterms:created>
  <dcterms:modified xsi:type="dcterms:W3CDTF">2024-12-30T13:54:00Z</dcterms:modified>
</cp:coreProperties>
</file>