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2F0360" w:rsidRPr="00D20B80" w14:paraId="758E1660" w14:textId="77777777" w:rsidTr="002F0360">
        <w:tc>
          <w:tcPr>
            <w:tcW w:w="4672" w:type="dxa"/>
          </w:tcPr>
          <w:p w14:paraId="388DEA5D" w14:textId="77777777" w:rsidR="002F0360" w:rsidRPr="00D20B80" w:rsidRDefault="002F0360" w:rsidP="002F0360">
            <w:pPr>
              <w:pStyle w:val="ConsTitle"/>
              <w:widowControl/>
              <w:spacing w:line="280" w:lineRule="exact"/>
              <w:ind w:right="0"/>
              <w:outlineLvl w:val="0"/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 w:rsidRPr="00D20B80"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>Утверждено</w:t>
            </w:r>
          </w:p>
          <w:p w14:paraId="072B54C5" w14:textId="77777777" w:rsidR="002F0360" w:rsidRPr="00D20B80" w:rsidRDefault="002F0360" w:rsidP="002F0360">
            <w:pPr>
              <w:pStyle w:val="ConsTitle"/>
              <w:widowControl/>
              <w:spacing w:before="120" w:line="280" w:lineRule="exact"/>
              <w:ind w:right="0"/>
              <w:outlineLvl w:val="0"/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 w:rsidRPr="00D20B80"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>Протокол заседания Правления ОАО «Белорусская универсальная товарная биржа»</w:t>
            </w:r>
          </w:p>
          <w:p w14:paraId="671D9947" w14:textId="1A50C051" w:rsidR="002F0360" w:rsidRPr="00D20B80" w:rsidRDefault="001D2272" w:rsidP="00D32D0E">
            <w:pPr>
              <w:pStyle w:val="ConsTitle"/>
              <w:widowControl/>
              <w:spacing w:line="280" w:lineRule="exact"/>
              <w:ind w:right="0"/>
              <w:outlineLvl w:val="0"/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 w:rsidRPr="00D20B80"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 xml:space="preserve">24.03.2023 </w:t>
            </w:r>
            <w:r w:rsidR="002F0360" w:rsidRPr="00D20B80"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>№ </w:t>
            </w:r>
            <w:r w:rsidRPr="00D20B80"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>69 (в редакции протокола заседания Правления от 08.08.2024 № 177)</w:t>
            </w:r>
          </w:p>
        </w:tc>
      </w:tr>
    </w:tbl>
    <w:p w14:paraId="5FACDD67" w14:textId="77777777" w:rsidR="002F0360" w:rsidRPr="00D20B80" w:rsidRDefault="002F0360" w:rsidP="002F0360">
      <w:pPr>
        <w:pStyle w:val="ConsTitle"/>
        <w:widowControl/>
        <w:spacing w:line="280" w:lineRule="exact"/>
        <w:ind w:right="0"/>
        <w:outlineLvl w:val="0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14:paraId="3A91A3C6" w14:textId="77777777" w:rsidR="002F0360" w:rsidRPr="00D20B80" w:rsidRDefault="002F0360" w:rsidP="00C10C61">
      <w:pPr>
        <w:pStyle w:val="ConsTitle"/>
        <w:widowControl/>
        <w:spacing w:line="280" w:lineRule="exact"/>
        <w:ind w:right="0"/>
        <w:jc w:val="center"/>
        <w:outlineLvl w:val="0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14:paraId="2540E79D" w14:textId="3D64B9DC" w:rsidR="00C10C61" w:rsidRPr="00D20B80" w:rsidRDefault="00C10C61" w:rsidP="00FE0D52">
      <w:pPr>
        <w:pStyle w:val="ConsTitle"/>
        <w:widowControl/>
        <w:spacing w:line="280" w:lineRule="exact"/>
        <w:ind w:right="0"/>
        <w:jc w:val="center"/>
        <w:outlineLvl w:val="0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D20B80">
        <w:rPr>
          <w:rFonts w:ascii="Times New Roman" w:hAnsi="Times New Roman" w:cs="Times New Roman"/>
          <w:b w:val="0"/>
          <w:bCs w:val="0"/>
          <w:sz w:val="30"/>
          <w:szCs w:val="30"/>
        </w:rPr>
        <w:t>ПРАВИЛА КЛИРИНГА</w:t>
      </w:r>
      <w:r w:rsidR="00FE0D52" w:rsidRPr="00D20B80">
        <w:rPr>
          <w:rFonts w:ascii="Times New Roman" w:hAnsi="Times New Roman" w:cs="Times New Roman"/>
          <w:b w:val="0"/>
          <w:bCs w:val="0"/>
          <w:sz w:val="30"/>
          <w:szCs w:val="30"/>
        </w:rPr>
        <w:t>, ОСУЩЕСТВЛЯЕМОГО</w:t>
      </w:r>
    </w:p>
    <w:p w14:paraId="46023E50" w14:textId="2B06A770" w:rsidR="00C10C61" w:rsidRPr="00D20B80" w:rsidRDefault="00C10C61" w:rsidP="00C10C61">
      <w:pPr>
        <w:pStyle w:val="ConsTitle"/>
        <w:widowControl/>
        <w:spacing w:line="280" w:lineRule="exact"/>
        <w:ind w:right="0"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D20B80">
        <w:rPr>
          <w:rFonts w:ascii="Times New Roman" w:hAnsi="Times New Roman" w:cs="Times New Roman"/>
          <w:b w:val="0"/>
          <w:bCs w:val="0"/>
          <w:sz w:val="30"/>
          <w:szCs w:val="30"/>
        </w:rPr>
        <w:t>ОАО «БЕЛОРУССКАЯ УНИВЕРСАЛЬНАЯ ТОВАРНАЯ БИРЖА»</w:t>
      </w:r>
    </w:p>
    <w:p w14:paraId="1CEF5948" w14:textId="77777777" w:rsidR="00C10C61" w:rsidRPr="00D20B80" w:rsidRDefault="00C10C61" w:rsidP="00037029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02A2BF7" w14:textId="3CACE832" w:rsidR="003E2BC6" w:rsidRPr="00D20B80" w:rsidRDefault="00F104BE" w:rsidP="0003702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0B80">
        <w:rPr>
          <w:rFonts w:ascii="Times New Roman" w:hAnsi="Times New Roman" w:cs="Times New Roman"/>
          <w:sz w:val="30"/>
          <w:szCs w:val="30"/>
        </w:rPr>
        <w:t>1</w:t>
      </w:r>
      <w:r w:rsidR="0050101B" w:rsidRPr="00D20B80">
        <w:rPr>
          <w:rFonts w:ascii="Times New Roman" w:hAnsi="Times New Roman" w:cs="Times New Roman"/>
          <w:sz w:val="30"/>
          <w:szCs w:val="30"/>
        </w:rPr>
        <w:t>.</w:t>
      </w:r>
      <w:r w:rsidR="002F0360" w:rsidRPr="00D20B80">
        <w:rPr>
          <w:rFonts w:ascii="Times New Roman" w:hAnsi="Times New Roman" w:cs="Times New Roman"/>
          <w:sz w:val="30"/>
          <w:szCs w:val="30"/>
        </w:rPr>
        <w:t>  Общие положения</w:t>
      </w:r>
    </w:p>
    <w:p w14:paraId="1AF96CC9" w14:textId="3F8FC5D8" w:rsidR="00C10C61" w:rsidRPr="00D20B80" w:rsidRDefault="00F104BE" w:rsidP="00F104B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20B80">
        <w:rPr>
          <w:rFonts w:ascii="Times New Roman" w:hAnsi="Times New Roman" w:cs="Times New Roman"/>
          <w:sz w:val="30"/>
          <w:szCs w:val="30"/>
        </w:rPr>
        <w:t xml:space="preserve">1.1 </w:t>
      </w:r>
      <w:r w:rsidR="00C10C61" w:rsidRPr="00D20B80">
        <w:rPr>
          <w:rFonts w:ascii="Times New Roman" w:hAnsi="Times New Roman" w:cs="Times New Roman"/>
          <w:sz w:val="30"/>
          <w:szCs w:val="30"/>
        </w:rPr>
        <w:t>Правила клиринга</w:t>
      </w:r>
      <w:r w:rsidR="00FE0D52" w:rsidRPr="00D20B80">
        <w:rPr>
          <w:rFonts w:ascii="Times New Roman" w:hAnsi="Times New Roman" w:cs="Times New Roman"/>
          <w:sz w:val="30"/>
          <w:szCs w:val="30"/>
        </w:rPr>
        <w:t>,</w:t>
      </w:r>
      <w:r w:rsidR="00C10C61" w:rsidRPr="00D20B80">
        <w:rPr>
          <w:rFonts w:ascii="Times New Roman" w:hAnsi="Times New Roman" w:cs="Times New Roman"/>
          <w:sz w:val="30"/>
          <w:szCs w:val="30"/>
        </w:rPr>
        <w:t xml:space="preserve"> </w:t>
      </w:r>
      <w:r w:rsidR="00275CE7" w:rsidRPr="00D20B80">
        <w:rPr>
          <w:rFonts w:ascii="Times New Roman" w:hAnsi="Times New Roman" w:cs="Times New Roman"/>
          <w:sz w:val="30"/>
          <w:szCs w:val="30"/>
        </w:rPr>
        <w:t>осуществляемого</w:t>
      </w:r>
      <w:r w:rsidR="00C10C61" w:rsidRPr="00D20B80">
        <w:rPr>
          <w:rFonts w:ascii="Times New Roman" w:hAnsi="Times New Roman" w:cs="Times New Roman"/>
          <w:sz w:val="30"/>
          <w:szCs w:val="30"/>
        </w:rPr>
        <w:t xml:space="preserve"> ОАО «Белорусская универсальная товарная биржа» (далее – Правила)</w:t>
      </w:r>
      <w:r w:rsidR="00275CE7" w:rsidRPr="00D20B80">
        <w:rPr>
          <w:rFonts w:ascii="Times New Roman" w:hAnsi="Times New Roman" w:cs="Times New Roman"/>
          <w:sz w:val="30"/>
          <w:szCs w:val="30"/>
        </w:rPr>
        <w:t>,</w:t>
      </w:r>
      <w:r w:rsidR="00C10C61" w:rsidRPr="00D20B80">
        <w:rPr>
          <w:rFonts w:ascii="Times New Roman" w:hAnsi="Times New Roman" w:cs="Times New Roman"/>
          <w:sz w:val="30"/>
          <w:szCs w:val="30"/>
        </w:rPr>
        <w:t xml:space="preserve"> разработаны </w:t>
      </w:r>
      <w:r w:rsidR="00215875" w:rsidRPr="00D20B80">
        <w:rPr>
          <w:rFonts w:ascii="Times New Roman" w:hAnsi="Times New Roman" w:cs="Times New Roman"/>
          <w:sz w:val="30"/>
          <w:szCs w:val="30"/>
        </w:rPr>
        <w:t>в соответствии</w:t>
      </w:r>
      <w:r w:rsidR="005630F4" w:rsidRPr="00D20B80">
        <w:rPr>
          <w:rFonts w:ascii="Times New Roman" w:hAnsi="Times New Roman" w:cs="Times New Roman"/>
          <w:sz w:val="30"/>
          <w:szCs w:val="30"/>
        </w:rPr>
        <w:t xml:space="preserve"> с</w:t>
      </w:r>
      <w:r w:rsidR="00C10C61" w:rsidRPr="00D20B80">
        <w:rPr>
          <w:rFonts w:ascii="Times New Roman" w:hAnsi="Times New Roman" w:cs="Times New Roman"/>
          <w:sz w:val="30"/>
          <w:szCs w:val="30"/>
        </w:rPr>
        <w:t xml:space="preserve"> Закон</w:t>
      </w:r>
      <w:r w:rsidR="005630F4" w:rsidRPr="00D20B80">
        <w:rPr>
          <w:rFonts w:ascii="Times New Roman" w:hAnsi="Times New Roman" w:cs="Times New Roman"/>
          <w:sz w:val="30"/>
          <w:szCs w:val="30"/>
        </w:rPr>
        <w:t>ом</w:t>
      </w:r>
      <w:r w:rsidR="00C10C61" w:rsidRPr="00D20B80">
        <w:rPr>
          <w:rFonts w:ascii="Times New Roman" w:hAnsi="Times New Roman" w:cs="Times New Roman"/>
          <w:sz w:val="30"/>
          <w:szCs w:val="30"/>
        </w:rPr>
        <w:t xml:space="preserve"> Республики Беларусь от 05.01.2009</w:t>
      </w:r>
      <w:r w:rsidR="006D2842" w:rsidRPr="00D20B80">
        <w:rPr>
          <w:rFonts w:ascii="Times New Roman" w:hAnsi="Times New Roman" w:cs="Times New Roman"/>
          <w:sz w:val="30"/>
          <w:szCs w:val="30"/>
        </w:rPr>
        <w:t xml:space="preserve"> №</w:t>
      </w:r>
      <w:r w:rsidR="005630F4" w:rsidRPr="00D20B80">
        <w:rPr>
          <w:rFonts w:ascii="Times New Roman" w:hAnsi="Times New Roman" w:cs="Times New Roman"/>
          <w:sz w:val="30"/>
          <w:szCs w:val="30"/>
        </w:rPr>
        <w:t> </w:t>
      </w:r>
      <w:r w:rsidR="006D2842" w:rsidRPr="00D20B80">
        <w:rPr>
          <w:rFonts w:ascii="Times New Roman" w:hAnsi="Times New Roman" w:cs="Times New Roman"/>
          <w:sz w:val="30"/>
          <w:szCs w:val="30"/>
        </w:rPr>
        <w:t>10-З</w:t>
      </w:r>
      <w:r w:rsidR="00C10C61" w:rsidRPr="00D20B80">
        <w:rPr>
          <w:rFonts w:ascii="Times New Roman" w:hAnsi="Times New Roman" w:cs="Times New Roman"/>
          <w:sz w:val="30"/>
          <w:szCs w:val="30"/>
        </w:rPr>
        <w:t xml:space="preserve"> «О</w:t>
      </w:r>
      <w:r w:rsidR="00D20B80" w:rsidRPr="00D20B80">
        <w:rPr>
          <w:rFonts w:ascii="Times New Roman" w:hAnsi="Times New Roman" w:cs="Times New Roman"/>
          <w:sz w:val="30"/>
          <w:szCs w:val="30"/>
        </w:rPr>
        <w:t> </w:t>
      </w:r>
      <w:r w:rsidR="00C10C61" w:rsidRPr="00D20B80">
        <w:rPr>
          <w:rFonts w:ascii="Times New Roman" w:hAnsi="Times New Roman" w:cs="Times New Roman"/>
          <w:sz w:val="30"/>
          <w:szCs w:val="30"/>
        </w:rPr>
        <w:t>товарных биржах»</w:t>
      </w:r>
      <w:r w:rsidR="005630F4" w:rsidRPr="00D20B80">
        <w:rPr>
          <w:rFonts w:ascii="Times New Roman" w:hAnsi="Times New Roman" w:cs="Times New Roman"/>
          <w:sz w:val="30"/>
          <w:szCs w:val="30"/>
        </w:rPr>
        <w:t>,</w:t>
      </w:r>
      <w:r w:rsidR="00E50357" w:rsidRPr="00D20B80">
        <w:rPr>
          <w:rFonts w:ascii="Times New Roman" w:hAnsi="Times New Roman" w:cs="Times New Roman"/>
          <w:sz w:val="30"/>
          <w:szCs w:val="30"/>
        </w:rPr>
        <w:t xml:space="preserve"> </w:t>
      </w:r>
      <w:r w:rsidR="005630F4" w:rsidRPr="00D20B80">
        <w:rPr>
          <w:rFonts w:ascii="Times New Roman" w:hAnsi="Times New Roman" w:cs="Times New Roman"/>
          <w:sz w:val="30"/>
          <w:szCs w:val="30"/>
        </w:rPr>
        <w:t xml:space="preserve">на основании части четвертой пункта 1 статьи 17 </w:t>
      </w:r>
      <w:r w:rsidR="00E50357" w:rsidRPr="00D20B80">
        <w:rPr>
          <w:rFonts w:ascii="Times New Roman" w:hAnsi="Times New Roman" w:cs="Times New Roman"/>
          <w:sz w:val="30"/>
          <w:szCs w:val="30"/>
        </w:rPr>
        <w:t>Закон</w:t>
      </w:r>
      <w:r w:rsidR="005630F4" w:rsidRPr="00D20B80">
        <w:rPr>
          <w:rFonts w:ascii="Times New Roman" w:hAnsi="Times New Roman" w:cs="Times New Roman"/>
          <w:sz w:val="30"/>
          <w:szCs w:val="30"/>
        </w:rPr>
        <w:t>а</w:t>
      </w:r>
      <w:r w:rsidR="00E50357" w:rsidRPr="00D20B80">
        <w:rPr>
          <w:rFonts w:ascii="Times New Roman" w:hAnsi="Times New Roman" w:cs="Times New Roman"/>
          <w:sz w:val="30"/>
          <w:szCs w:val="30"/>
        </w:rPr>
        <w:t xml:space="preserve"> Рес</w:t>
      </w:r>
      <w:r w:rsidR="006D2842" w:rsidRPr="00D20B80">
        <w:rPr>
          <w:rFonts w:ascii="Times New Roman" w:hAnsi="Times New Roman" w:cs="Times New Roman"/>
          <w:sz w:val="30"/>
          <w:szCs w:val="30"/>
        </w:rPr>
        <w:t>публики Беларусь от 19.04.2022 №</w:t>
      </w:r>
      <w:r w:rsidR="00C96BAB" w:rsidRPr="00D20B80">
        <w:rPr>
          <w:rFonts w:ascii="Times New Roman" w:hAnsi="Times New Roman" w:cs="Times New Roman"/>
          <w:sz w:val="30"/>
          <w:szCs w:val="30"/>
        </w:rPr>
        <w:t> </w:t>
      </w:r>
      <w:r w:rsidR="00E50357" w:rsidRPr="00D20B80">
        <w:rPr>
          <w:rFonts w:ascii="Times New Roman" w:hAnsi="Times New Roman" w:cs="Times New Roman"/>
          <w:sz w:val="30"/>
          <w:szCs w:val="30"/>
        </w:rPr>
        <w:t xml:space="preserve">164-З </w:t>
      </w:r>
      <w:r w:rsidR="00C96BAB" w:rsidRPr="00D20B80">
        <w:rPr>
          <w:rFonts w:ascii="Times New Roman" w:hAnsi="Times New Roman" w:cs="Times New Roman"/>
          <w:sz w:val="30"/>
          <w:szCs w:val="30"/>
        </w:rPr>
        <w:t>«</w:t>
      </w:r>
      <w:r w:rsidR="00E50357" w:rsidRPr="00D20B80">
        <w:rPr>
          <w:rFonts w:ascii="Times New Roman" w:hAnsi="Times New Roman" w:cs="Times New Roman"/>
          <w:sz w:val="30"/>
          <w:szCs w:val="30"/>
        </w:rPr>
        <w:t>О платежных системах и платежных услугах</w:t>
      </w:r>
      <w:r w:rsidR="00E43CF3" w:rsidRPr="00D20B80">
        <w:rPr>
          <w:rFonts w:ascii="Times New Roman" w:hAnsi="Times New Roman" w:cs="Times New Roman"/>
          <w:sz w:val="30"/>
          <w:szCs w:val="30"/>
        </w:rPr>
        <w:t xml:space="preserve">» </w:t>
      </w:r>
      <w:r w:rsidR="00C10C61" w:rsidRPr="00D20B80">
        <w:rPr>
          <w:rFonts w:ascii="Times New Roman" w:hAnsi="Times New Roman" w:cs="Times New Roman"/>
          <w:sz w:val="30"/>
          <w:szCs w:val="30"/>
        </w:rPr>
        <w:t xml:space="preserve">и определяют </w:t>
      </w:r>
      <w:r w:rsidR="00877762" w:rsidRPr="00D20B80">
        <w:rPr>
          <w:rFonts w:ascii="Times New Roman" w:hAnsi="Times New Roman" w:cs="Times New Roman"/>
          <w:sz w:val="30"/>
          <w:szCs w:val="30"/>
        </w:rPr>
        <w:t>отдельные</w:t>
      </w:r>
      <w:r w:rsidR="00C96BAB" w:rsidRPr="00D20B80">
        <w:rPr>
          <w:rFonts w:ascii="Times New Roman" w:hAnsi="Times New Roman" w:cs="Times New Roman"/>
          <w:sz w:val="30"/>
          <w:szCs w:val="30"/>
        </w:rPr>
        <w:t xml:space="preserve"> совершаемые биржей</w:t>
      </w:r>
      <w:r w:rsidR="00877762" w:rsidRPr="00D20B80">
        <w:rPr>
          <w:rFonts w:ascii="Times New Roman" w:hAnsi="Times New Roman" w:cs="Times New Roman"/>
          <w:sz w:val="30"/>
          <w:szCs w:val="30"/>
        </w:rPr>
        <w:t xml:space="preserve"> </w:t>
      </w:r>
      <w:r w:rsidR="00DB0B79" w:rsidRPr="00D20B80">
        <w:rPr>
          <w:rFonts w:ascii="Times New Roman" w:hAnsi="Times New Roman" w:cs="Times New Roman"/>
          <w:sz w:val="30"/>
          <w:szCs w:val="30"/>
        </w:rPr>
        <w:t>операции, обладающи</w:t>
      </w:r>
      <w:r w:rsidR="00D76C1F" w:rsidRPr="00D20B80">
        <w:rPr>
          <w:rFonts w:ascii="Times New Roman" w:hAnsi="Times New Roman" w:cs="Times New Roman"/>
          <w:sz w:val="30"/>
          <w:szCs w:val="30"/>
        </w:rPr>
        <w:t>е</w:t>
      </w:r>
      <w:r w:rsidR="00DB0B79" w:rsidRPr="00D20B80">
        <w:rPr>
          <w:rFonts w:ascii="Times New Roman" w:hAnsi="Times New Roman" w:cs="Times New Roman"/>
          <w:sz w:val="30"/>
          <w:szCs w:val="30"/>
        </w:rPr>
        <w:t xml:space="preserve"> признаками </w:t>
      </w:r>
      <w:r w:rsidR="00D76C1F" w:rsidRPr="00D20B80">
        <w:rPr>
          <w:rFonts w:ascii="Times New Roman" w:hAnsi="Times New Roman" w:cs="Times New Roman"/>
          <w:sz w:val="30"/>
          <w:szCs w:val="30"/>
        </w:rPr>
        <w:t xml:space="preserve">платежных услуг (услуг клиринга), оказываемых </w:t>
      </w:r>
      <w:r w:rsidR="00877762" w:rsidRPr="00D20B80">
        <w:rPr>
          <w:rFonts w:ascii="Times New Roman" w:hAnsi="Times New Roman" w:cs="Times New Roman"/>
          <w:sz w:val="30"/>
          <w:szCs w:val="30"/>
        </w:rPr>
        <w:t>участникам биржевой торговли</w:t>
      </w:r>
      <w:r w:rsidR="00E50357" w:rsidRPr="00D20B80">
        <w:rPr>
          <w:rFonts w:ascii="Times New Roman" w:hAnsi="Times New Roman" w:cs="Times New Roman"/>
          <w:sz w:val="30"/>
          <w:szCs w:val="30"/>
        </w:rPr>
        <w:t>.</w:t>
      </w:r>
    </w:p>
    <w:p w14:paraId="3A81DB46" w14:textId="3811AE68" w:rsidR="00AA13F7" w:rsidRPr="00D20B80" w:rsidRDefault="00AA13F7" w:rsidP="00AA13F7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20B80">
        <w:rPr>
          <w:rFonts w:ascii="Times New Roman" w:hAnsi="Times New Roman" w:cs="Times New Roman"/>
          <w:sz w:val="30"/>
          <w:szCs w:val="30"/>
        </w:rPr>
        <w:t>1.2. Биржа доводит настоящие Правила, изменения и (или) дополнения к ним, иную информацию о своей деятельности, в том числе о</w:t>
      </w:r>
      <w:r w:rsidR="00D20B80" w:rsidRPr="00D20B80">
        <w:rPr>
          <w:rFonts w:ascii="Times New Roman" w:hAnsi="Times New Roman" w:cs="Times New Roman"/>
          <w:sz w:val="30"/>
          <w:szCs w:val="30"/>
        </w:rPr>
        <w:t> </w:t>
      </w:r>
      <w:r w:rsidRPr="00D20B80">
        <w:rPr>
          <w:rFonts w:ascii="Times New Roman" w:hAnsi="Times New Roman" w:cs="Times New Roman"/>
          <w:sz w:val="30"/>
          <w:szCs w:val="30"/>
        </w:rPr>
        <w:t>принимаемых решениях в отношении участников биржевой торговли, клиентов биржевых брокеров и других заинтересованных лиц</w:t>
      </w:r>
      <w:r w:rsidR="00E43CF3" w:rsidRPr="00D20B80">
        <w:rPr>
          <w:rFonts w:ascii="Times New Roman" w:hAnsi="Times New Roman" w:cs="Times New Roman"/>
          <w:sz w:val="30"/>
          <w:szCs w:val="30"/>
        </w:rPr>
        <w:t xml:space="preserve"> </w:t>
      </w:r>
      <w:r w:rsidRPr="00D20B80">
        <w:rPr>
          <w:rFonts w:ascii="Times New Roman" w:hAnsi="Times New Roman" w:cs="Times New Roman"/>
          <w:sz w:val="30"/>
          <w:szCs w:val="30"/>
        </w:rPr>
        <w:t xml:space="preserve">посредством размещения этой информации на официальном сайте </w:t>
      </w:r>
      <w:r w:rsidR="00A57613" w:rsidRPr="00D20B80">
        <w:rPr>
          <w:rFonts w:ascii="Times New Roman" w:hAnsi="Times New Roman" w:cs="Times New Roman"/>
          <w:sz w:val="30"/>
          <w:szCs w:val="30"/>
        </w:rPr>
        <w:t>б</w:t>
      </w:r>
      <w:r w:rsidRPr="00D20B80">
        <w:rPr>
          <w:rFonts w:ascii="Times New Roman" w:hAnsi="Times New Roman" w:cs="Times New Roman"/>
          <w:sz w:val="30"/>
          <w:szCs w:val="30"/>
        </w:rPr>
        <w:t xml:space="preserve">иржи в глобальной компьютерной сети Интернет по адресу </w:t>
      </w:r>
      <w:hyperlink r:id="rId8" w:history="1">
        <w:r w:rsidRPr="00D20B80">
          <w:rPr>
            <w:rFonts w:ascii="Times New Roman" w:hAnsi="Times New Roman" w:cs="Times New Roman"/>
            <w:sz w:val="30"/>
            <w:szCs w:val="30"/>
          </w:rPr>
          <w:t>www.butb.by</w:t>
        </w:r>
      </w:hyperlink>
      <w:r w:rsidRPr="00D20B80">
        <w:rPr>
          <w:rFonts w:ascii="Times New Roman" w:hAnsi="Times New Roman" w:cs="Times New Roman"/>
          <w:sz w:val="30"/>
          <w:szCs w:val="30"/>
        </w:rPr>
        <w:t xml:space="preserve"> (далее – сайт </w:t>
      </w:r>
      <w:r w:rsidR="00A57613" w:rsidRPr="00D20B80">
        <w:rPr>
          <w:rFonts w:ascii="Times New Roman" w:hAnsi="Times New Roman" w:cs="Times New Roman"/>
          <w:sz w:val="30"/>
          <w:szCs w:val="30"/>
        </w:rPr>
        <w:t>б</w:t>
      </w:r>
      <w:r w:rsidRPr="00D20B80">
        <w:rPr>
          <w:rFonts w:ascii="Times New Roman" w:hAnsi="Times New Roman" w:cs="Times New Roman"/>
          <w:sz w:val="30"/>
          <w:szCs w:val="30"/>
        </w:rPr>
        <w:t>иржи), что является официальным извещением указанных лиц.</w:t>
      </w:r>
    </w:p>
    <w:p w14:paraId="22C5EBBE" w14:textId="12BE40F7" w:rsidR="00AA13F7" w:rsidRPr="00D20B80" w:rsidRDefault="00AA13F7" w:rsidP="00AA13F7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20B80">
        <w:rPr>
          <w:rFonts w:ascii="Times New Roman" w:hAnsi="Times New Roman" w:cs="Times New Roman"/>
          <w:sz w:val="30"/>
          <w:szCs w:val="30"/>
        </w:rPr>
        <w:t xml:space="preserve">Биржа может использовать иные способы информирования участников биржевой торговли, клиентов биржевых брокеров и других заинтересованных лиц. </w:t>
      </w:r>
    </w:p>
    <w:p w14:paraId="2D651FA1" w14:textId="77777777" w:rsidR="00616988" w:rsidRPr="00D20B80" w:rsidRDefault="008E13B3" w:rsidP="008E13B3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20B80">
        <w:rPr>
          <w:rFonts w:ascii="Times New Roman" w:hAnsi="Times New Roman" w:cs="Times New Roman"/>
          <w:sz w:val="30"/>
          <w:szCs w:val="30"/>
        </w:rPr>
        <w:t>1.3. Для целей настоящих Правил применяются термины и их определения, установленные Законом Республики Беларусь «О товарных биржах», Правилами</w:t>
      </w:r>
      <w:r w:rsidRPr="00D20B80">
        <w:rPr>
          <w:sz w:val="30"/>
          <w:szCs w:val="30"/>
        </w:rPr>
        <w:t xml:space="preserve"> </w:t>
      </w:r>
      <w:r w:rsidRPr="00D20B80">
        <w:rPr>
          <w:rFonts w:ascii="Times New Roman" w:hAnsi="Times New Roman" w:cs="Times New Roman"/>
          <w:sz w:val="30"/>
          <w:szCs w:val="30"/>
        </w:rPr>
        <w:t>биржевой торговли в ОАО «Белорусская универсальная товарная биржа», утвержденными постановлением Правления ОАО «Белорусская универсальная товарная биржа» от 22.11.2005</w:t>
      </w:r>
      <w:r w:rsidR="00B435E0" w:rsidRPr="00D20B80">
        <w:rPr>
          <w:rFonts w:ascii="Times New Roman" w:hAnsi="Times New Roman" w:cs="Times New Roman"/>
          <w:sz w:val="30"/>
          <w:szCs w:val="30"/>
        </w:rPr>
        <w:t xml:space="preserve"> </w:t>
      </w:r>
      <w:r w:rsidRPr="00D20B80">
        <w:rPr>
          <w:rFonts w:ascii="Times New Roman" w:hAnsi="Times New Roman" w:cs="Times New Roman"/>
          <w:sz w:val="30"/>
          <w:szCs w:val="30"/>
        </w:rPr>
        <w:t>№ 3</w:t>
      </w:r>
      <w:r w:rsidR="003732FC" w:rsidRPr="00D20B80">
        <w:rPr>
          <w:rFonts w:ascii="Times New Roman" w:hAnsi="Times New Roman" w:cs="Times New Roman"/>
          <w:sz w:val="30"/>
          <w:szCs w:val="30"/>
        </w:rPr>
        <w:t xml:space="preserve"> (далее – Правила биржевой торговли)</w:t>
      </w:r>
      <w:r w:rsidRPr="00D20B80">
        <w:rPr>
          <w:rFonts w:ascii="Times New Roman" w:hAnsi="Times New Roman" w:cs="Times New Roman"/>
          <w:sz w:val="30"/>
          <w:szCs w:val="30"/>
        </w:rPr>
        <w:t>, иными локальными правовыми актами биржи, а также следующие:</w:t>
      </w:r>
    </w:p>
    <w:p w14:paraId="58EC58CE" w14:textId="0B0AD9DE" w:rsidR="00B435E0" w:rsidRPr="00D20B80" w:rsidRDefault="00616988" w:rsidP="008E13B3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20B80">
        <w:rPr>
          <w:rFonts w:ascii="Times New Roman" w:hAnsi="Times New Roman" w:cs="Times New Roman"/>
          <w:sz w:val="30"/>
          <w:szCs w:val="30"/>
        </w:rPr>
        <w:t>биржевая сделка (договор) – зарегистрированный в порядке, установленном локальными правовыми актами биржи биржевой договор, заключенный участниками биржевой торговли в отношении биржевого товара по итогам биржевых торгов;</w:t>
      </w:r>
      <w:r w:rsidR="008E13B3" w:rsidRPr="00D20B8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8639461" w14:textId="01815025" w:rsidR="008E13B3" w:rsidRPr="00D20B80" w:rsidRDefault="008E13B3" w:rsidP="008E13B3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20B80">
        <w:rPr>
          <w:rFonts w:ascii="Times New Roman" w:hAnsi="Times New Roman" w:cs="Times New Roman"/>
          <w:sz w:val="30"/>
          <w:szCs w:val="30"/>
        </w:rPr>
        <w:lastRenderedPageBreak/>
        <w:t>платежные услуги (услуги клиринга) – осуществляемые биржей операции, определенные настоящими Правилами;</w:t>
      </w:r>
    </w:p>
    <w:p w14:paraId="11C19833" w14:textId="35411017" w:rsidR="00BA6C26" w:rsidRPr="00D20B80" w:rsidRDefault="00A75D5B" w:rsidP="008E13B3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20B80">
        <w:rPr>
          <w:rFonts w:ascii="Times New Roman" w:hAnsi="Times New Roman" w:cs="Times New Roman"/>
          <w:sz w:val="30"/>
          <w:szCs w:val="30"/>
        </w:rPr>
        <w:t xml:space="preserve">специальные счета биржи – </w:t>
      </w:r>
      <w:r w:rsidR="00BA6C26" w:rsidRPr="00D20B80">
        <w:rPr>
          <w:rFonts w:ascii="Times New Roman" w:hAnsi="Times New Roman" w:cs="Times New Roman"/>
          <w:sz w:val="30"/>
          <w:szCs w:val="30"/>
        </w:rPr>
        <w:t xml:space="preserve">открытые в расчетном центре </w:t>
      </w:r>
      <w:r w:rsidR="00A770F5" w:rsidRPr="00D20B80">
        <w:rPr>
          <w:rFonts w:ascii="Times New Roman" w:hAnsi="Times New Roman" w:cs="Times New Roman"/>
          <w:sz w:val="30"/>
          <w:szCs w:val="30"/>
        </w:rPr>
        <w:t>счета биржи,</w:t>
      </w:r>
      <w:r w:rsidR="00BA6C26" w:rsidRPr="00D20B80">
        <w:rPr>
          <w:rFonts w:ascii="Times New Roman" w:hAnsi="Times New Roman" w:cs="Times New Roman"/>
          <w:sz w:val="30"/>
          <w:szCs w:val="30"/>
        </w:rPr>
        <w:t xml:space="preserve"> используемые для исполнения биржей платежных операций </w:t>
      </w:r>
      <w:proofErr w:type="gramStart"/>
      <w:r w:rsidR="00BA6C26" w:rsidRPr="00D20B80">
        <w:rPr>
          <w:rFonts w:ascii="Times New Roman" w:hAnsi="Times New Roman" w:cs="Times New Roman"/>
          <w:sz w:val="30"/>
          <w:szCs w:val="30"/>
        </w:rPr>
        <w:t>в пределах</w:t>
      </w:r>
      <w:proofErr w:type="gramEnd"/>
      <w:r w:rsidR="00BA6C26" w:rsidRPr="00D20B80">
        <w:rPr>
          <w:rFonts w:ascii="Times New Roman" w:hAnsi="Times New Roman" w:cs="Times New Roman"/>
          <w:sz w:val="30"/>
          <w:szCs w:val="30"/>
        </w:rPr>
        <w:t xml:space="preserve"> </w:t>
      </w:r>
      <w:r w:rsidR="009F5722" w:rsidRPr="00D20B80">
        <w:rPr>
          <w:rFonts w:ascii="Times New Roman" w:hAnsi="Times New Roman" w:cs="Times New Roman"/>
          <w:sz w:val="30"/>
          <w:szCs w:val="30"/>
        </w:rPr>
        <w:t xml:space="preserve">перечисленных на данный счет </w:t>
      </w:r>
      <w:r w:rsidR="00BA6C26" w:rsidRPr="00D20B80">
        <w:rPr>
          <w:rFonts w:ascii="Times New Roman" w:hAnsi="Times New Roman" w:cs="Times New Roman"/>
          <w:sz w:val="30"/>
          <w:szCs w:val="30"/>
        </w:rPr>
        <w:t>участниками клиринга денежных средств, гарантирующих исполнение их обязательств по биржевым сделкам (договорам)</w:t>
      </w:r>
      <w:r w:rsidR="003378CD" w:rsidRPr="00D20B80">
        <w:rPr>
          <w:rFonts w:ascii="Times New Roman" w:hAnsi="Times New Roman" w:cs="Times New Roman"/>
          <w:sz w:val="30"/>
          <w:szCs w:val="30"/>
        </w:rPr>
        <w:t>;</w:t>
      </w:r>
    </w:p>
    <w:p w14:paraId="33B80A1D" w14:textId="27CF05AB" w:rsidR="008E13B3" w:rsidRPr="00D20B80" w:rsidRDefault="003378CD" w:rsidP="00E43CF3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20B80">
        <w:rPr>
          <w:rFonts w:ascii="Times New Roman" w:hAnsi="Times New Roman" w:cs="Times New Roman"/>
          <w:sz w:val="30"/>
          <w:szCs w:val="30"/>
        </w:rPr>
        <w:t>участник клиринга – участник биржевой торговли.</w:t>
      </w:r>
    </w:p>
    <w:p w14:paraId="35FB771F" w14:textId="3357306B" w:rsidR="001E1764" w:rsidRPr="00D20B80" w:rsidRDefault="001E1764" w:rsidP="001E1764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  <w:shd w:val="clear" w:color="auto" w:fill="FFFFFF"/>
        </w:rPr>
      </w:pPr>
      <w:r w:rsidRPr="00D20B80">
        <w:rPr>
          <w:rStyle w:val="word-wrapper"/>
          <w:sz w:val="30"/>
          <w:szCs w:val="30"/>
          <w:shd w:val="clear" w:color="auto" w:fill="FFFFFF"/>
        </w:rPr>
        <w:t>1.</w:t>
      </w:r>
      <w:r w:rsidR="003378CD" w:rsidRPr="00D20B80">
        <w:rPr>
          <w:rStyle w:val="word-wrapper"/>
          <w:sz w:val="30"/>
          <w:szCs w:val="30"/>
          <w:shd w:val="clear" w:color="auto" w:fill="FFFFFF"/>
        </w:rPr>
        <w:t>4</w:t>
      </w:r>
      <w:r w:rsidRPr="00D20B80">
        <w:rPr>
          <w:rStyle w:val="word-wrapper"/>
          <w:sz w:val="30"/>
          <w:szCs w:val="30"/>
          <w:shd w:val="clear" w:color="auto" w:fill="FFFFFF"/>
        </w:rPr>
        <w:t>. </w:t>
      </w:r>
      <w:r w:rsidR="00DB0B79" w:rsidRPr="00D20B80">
        <w:rPr>
          <w:rStyle w:val="word-wrapper"/>
          <w:sz w:val="30"/>
          <w:szCs w:val="30"/>
          <w:shd w:val="clear" w:color="auto" w:fill="FFFFFF"/>
        </w:rPr>
        <w:t>Платежные услуги (у</w:t>
      </w:r>
      <w:r w:rsidRPr="00D20B80">
        <w:rPr>
          <w:rStyle w:val="word-wrapper"/>
          <w:sz w:val="30"/>
          <w:szCs w:val="30"/>
          <w:shd w:val="clear" w:color="auto" w:fill="FFFFFF"/>
        </w:rPr>
        <w:t>слуг</w:t>
      </w:r>
      <w:r w:rsidR="00DB0B79" w:rsidRPr="00D20B80">
        <w:rPr>
          <w:rStyle w:val="word-wrapper"/>
          <w:sz w:val="30"/>
          <w:szCs w:val="30"/>
          <w:shd w:val="clear" w:color="auto" w:fill="FFFFFF"/>
        </w:rPr>
        <w:t>и</w:t>
      </w:r>
      <w:r w:rsidRPr="00D20B80">
        <w:rPr>
          <w:rStyle w:val="word-wrapper"/>
          <w:sz w:val="30"/>
          <w:szCs w:val="30"/>
          <w:shd w:val="clear" w:color="auto" w:fill="FFFFFF"/>
        </w:rPr>
        <w:t xml:space="preserve"> клиринга</w:t>
      </w:r>
      <w:r w:rsidR="00DB0B79" w:rsidRPr="00D20B80">
        <w:rPr>
          <w:rStyle w:val="word-wrapper"/>
          <w:sz w:val="30"/>
          <w:szCs w:val="30"/>
          <w:shd w:val="clear" w:color="auto" w:fill="FFFFFF"/>
        </w:rPr>
        <w:t>)</w:t>
      </w:r>
      <w:r w:rsidRPr="00D20B80">
        <w:rPr>
          <w:rStyle w:val="word-wrapper"/>
          <w:sz w:val="30"/>
          <w:szCs w:val="30"/>
          <w:shd w:val="clear" w:color="auto" w:fill="FFFFFF"/>
        </w:rPr>
        <w:t>, осуществляем</w:t>
      </w:r>
      <w:r w:rsidR="00D76C1F" w:rsidRPr="00D20B80">
        <w:rPr>
          <w:rStyle w:val="word-wrapper"/>
          <w:sz w:val="30"/>
          <w:szCs w:val="30"/>
          <w:shd w:val="clear" w:color="auto" w:fill="FFFFFF"/>
        </w:rPr>
        <w:t>ые</w:t>
      </w:r>
      <w:r w:rsidRPr="00D20B80">
        <w:rPr>
          <w:rStyle w:val="word-wrapper"/>
          <w:sz w:val="30"/>
          <w:szCs w:val="30"/>
          <w:shd w:val="clear" w:color="auto" w:fill="FFFFFF"/>
        </w:rPr>
        <w:t xml:space="preserve"> биржей, включа</w:t>
      </w:r>
      <w:r w:rsidR="00D912A1" w:rsidRPr="00D20B80">
        <w:rPr>
          <w:rStyle w:val="word-wrapper"/>
          <w:sz w:val="30"/>
          <w:szCs w:val="30"/>
          <w:shd w:val="clear" w:color="auto" w:fill="FFFFFF"/>
        </w:rPr>
        <w:t>ю</w:t>
      </w:r>
      <w:r w:rsidRPr="00D20B80">
        <w:rPr>
          <w:rStyle w:val="word-wrapper"/>
          <w:sz w:val="30"/>
          <w:szCs w:val="30"/>
          <w:shd w:val="clear" w:color="auto" w:fill="FFFFFF"/>
        </w:rPr>
        <w:t>т следующие операции:</w:t>
      </w:r>
    </w:p>
    <w:p w14:paraId="0B15BCCD" w14:textId="2708C1A8" w:rsidR="001E1764" w:rsidRPr="00D20B80" w:rsidRDefault="001E1764" w:rsidP="001E1764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  <w:r w:rsidRPr="00D20B80">
        <w:rPr>
          <w:rStyle w:val="word-wrapper"/>
          <w:sz w:val="30"/>
          <w:szCs w:val="30"/>
        </w:rPr>
        <w:t>определение информации о платежных обязательствах участников биржевой торговли по</w:t>
      </w:r>
      <w:r w:rsidR="008E13B3" w:rsidRPr="00D20B80">
        <w:rPr>
          <w:rStyle w:val="word-wrapper"/>
          <w:sz w:val="30"/>
          <w:szCs w:val="30"/>
        </w:rPr>
        <w:t xml:space="preserve"> </w:t>
      </w:r>
      <w:r w:rsidRPr="00D20B80">
        <w:rPr>
          <w:rStyle w:val="word-wrapper"/>
          <w:sz w:val="30"/>
          <w:szCs w:val="30"/>
        </w:rPr>
        <w:t xml:space="preserve">биржевым сделкам (договорам), совершенным с использованием специальных счетов биржи, </w:t>
      </w:r>
      <w:r w:rsidR="003F519C" w:rsidRPr="00D20B80">
        <w:rPr>
          <w:rStyle w:val="word-wrapper"/>
          <w:sz w:val="30"/>
          <w:szCs w:val="30"/>
        </w:rPr>
        <w:t>и</w:t>
      </w:r>
      <w:r w:rsidRPr="00D20B80">
        <w:rPr>
          <w:rStyle w:val="word-wrapper"/>
          <w:sz w:val="30"/>
          <w:szCs w:val="30"/>
        </w:rPr>
        <w:t xml:space="preserve"> по биржевым сделкам (договорам), совершенным при условии предоставления биржевого задатка в порядке, установленном локальными правовыми актами биржи;</w:t>
      </w:r>
    </w:p>
    <w:p w14:paraId="5BF8C476" w14:textId="30ECEAEE" w:rsidR="001E1764" w:rsidRPr="00D20B80" w:rsidRDefault="00480466" w:rsidP="00480466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  <w:shd w:val="clear" w:color="auto" w:fill="FFFFFF"/>
        </w:rPr>
      </w:pPr>
      <w:r w:rsidRPr="00D20B80">
        <w:rPr>
          <w:rStyle w:val="word-wrapper"/>
          <w:color w:val="000000" w:themeColor="text1"/>
          <w:sz w:val="30"/>
          <w:szCs w:val="30"/>
        </w:rPr>
        <w:t>обособленн</w:t>
      </w:r>
      <w:r w:rsidR="00374A3E" w:rsidRPr="00D20B80">
        <w:rPr>
          <w:rStyle w:val="word-wrapper"/>
          <w:color w:val="000000" w:themeColor="text1"/>
          <w:sz w:val="30"/>
          <w:szCs w:val="30"/>
        </w:rPr>
        <w:t>ый</w:t>
      </w:r>
      <w:r w:rsidRPr="00D20B80">
        <w:rPr>
          <w:rStyle w:val="word-wrapper"/>
          <w:color w:val="000000" w:themeColor="text1"/>
          <w:sz w:val="30"/>
          <w:szCs w:val="30"/>
        </w:rPr>
        <w:t xml:space="preserve"> учет</w:t>
      </w:r>
      <w:r w:rsidR="001D2272" w:rsidRPr="00D20B80">
        <w:rPr>
          <w:sz w:val="30"/>
          <w:szCs w:val="30"/>
        </w:rPr>
        <w:t xml:space="preserve"> на счетах бухгалтерского учета</w:t>
      </w:r>
      <w:r w:rsidRPr="00D20B80">
        <w:rPr>
          <w:rStyle w:val="word-wrapper"/>
          <w:color w:val="000000" w:themeColor="text1"/>
          <w:sz w:val="30"/>
          <w:szCs w:val="30"/>
        </w:rPr>
        <w:t xml:space="preserve"> в отдельности по каждой биржевой сделке (договору) денежных средств участника клиринга, </w:t>
      </w:r>
      <w:r w:rsidR="001E1764" w:rsidRPr="00D20B80">
        <w:rPr>
          <w:rStyle w:val="word-wrapper"/>
          <w:sz w:val="30"/>
          <w:szCs w:val="30"/>
          <w:shd w:val="clear" w:color="auto" w:fill="FFFFFF"/>
        </w:rPr>
        <w:t>перечислен</w:t>
      </w:r>
      <w:r w:rsidRPr="00D20B80">
        <w:rPr>
          <w:rStyle w:val="word-wrapper"/>
          <w:sz w:val="30"/>
          <w:szCs w:val="30"/>
          <w:shd w:val="clear" w:color="auto" w:fill="FFFFFF"/>
        </w:rPr>
        <w:t>ных</w:t>
      </w:r>
      <w:r w:rsidR="001E1764" w:rsidRPr="00D20B80">
        <w:rPr>
          <w:rStyle w:val="word-wrapper"/>
          <w:sz w:val="30"/>
          <w:szCs w:val="30"/>
          <w:shd w:val="clear" w:color="auto" w:fill="FFFFFF"/>
        </w:rPr>
        <w:t xml:space="preserve"> </w:t>
      </w:r>
      <w:r w:rsidR="00917037" w:rsidRPr="00D20B80">
        <w:rPr>
          <w:rStyle w:val="word-wrapper"/>
          <w:sz w:val="30"/>
          <w:szCs w:val="30"/>
          <w:shd w:val="clear" w:color="auto" w:fill="FFFFFF"/>
        </w:rPr>
        <w:t>им</w:t>
      </w:r>
      <w:r w:rsidR="001E1764" w:rsidRPr="00D20B80">
        <w:rPr>
          <w:rStyle w:val="word-wrapper"/>
          <w:sz w:val="30"/>
          <w:szCs w:val="30"/>
          <w:shd w:val="clear" w:color="auto" w:fill="FFFFFF"/>
        </w:rPr>
        <w:t xml:space="preserve"> на специальный счет биржи в размере суммы, необходимой для гарантированного исполнения платежного обязательства по </w:t>
      </w:r>
      <w:r w:rsidR="00917037" w:rsidRPr="00D20B80">
        <w:rPr>
          <w:rStyle w:val="word-wrapper"/>
          <w:sz w:val="30"/>
          <w:szCs w:val="30"/>
          <w:shd w:val="clear" w:color="auto" w:fill="FFFFFF"/>
        </w:rPr>
        <w:t xml:space="preserve">каждой </w:t>
      </w:r>
      <w:r w:rsidR="001E1764" w:rsidRPr="00D20B80">
        <w:rPr>
          <w:rStyle w:val="word-wrapper"/>
          <w:sz w:val="30"/>
          <w:szCs w:val="30"/>
          <w:shd w:val="clear" w:color="auto" w:fill="FFFFFF"/>
        </w:rPr>
        <w:t>биржевой сделке (договору)</w:t>
      </w:r>
      <w:r w:rsidR="003F519C" w:rsidRPr="00D20B80">
        <w:rPr>
          <w:rStyle w:val="word-wrapper"/>
          <w:sz w:val="30"/>
          <w:szCs w:val="30"/>
          <w:shd w:val="clear" w:color="auto" w:fill="FFFFFF"/>
        </w:rPr>
        <w:t xml:space="preserve"> в случае, если биржевая сделка совершена с использованием специальных счетов биржи</w:t>
      </w:r>
      <w:r w:rsidR="00374A3E" w:rsidRPr="00D20B80">
        <w:rPr>
          <w:rStyle w:val="word-wrapper"/>
          <w:sz w:val="30"/>
          <w:szCs w:val="30"/>
          <w:shd w:val="clear" w:color="auto" w:fill="FFFFFF"/>
        </w:rPr>
        <w:t>, и последующий контроль</w:t>
      </w:r>
      <w:r w:rsidR="005630F4" w:rsidRPr="00D20B80">
        <w:rPr>
          <w:rStyle w:val="word-wrapper"/>
          <w:sz w:val="30"/>
          <w:szCs w:val="30"/>
          <w:shd w:val="clear" w:color="auto" w:fill="FFFFFF"/>
        </w:rPr>
        <w:t xml:space="preserve"> </w:t>
      </w:r>
      <w:r w:rsidR="00374A3E" w:rsidRPr="00D20B80">
        <w:rPr>
          <w:rStyle w:val="word-wrapper"/>
          <w:sz w:val="30"/>
          <w:szCs w:val="30"/>
          <w:shd w:val="clear" w:color="auto" w:fill="FFFFFF"/>
        </w:rPr>
        <w:t>исполнения стороной биржевой сделки (договора), определенной как получатель платежа, обязательств по поставке биржевого товара</w:t>
      </w:r>
      <w:r w:rsidR="001E1764" w:rsidRPr="00D20B80">
        <w:rPr>
          <w:rStyle w:val="word-wrapper"/>
          <w:sz w:val="30"/>
          <w:szCs w:val="30"/>
          <w:shd w:val="clear" w:color="auto" w:fill="FFFFFF"/>
        </w:rPr>
        <w:t>;</w:t>
      </w:r>
    </w:p>
    <w:p w14:paraId="7195C159" w14:textId="26636AC2" w:rsidR="001E1764" w:rsidRPr="00D20B80" w:rsidRDefault="001E1764" w:rsidP="001E1764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  <w:shd w:val="clear" w:color="auto" w:fill="FFFFFF"/>
        </w:rPr>
      </w:pPr>
      <w:r w:rsidRPr="00D20B80">
        <w:rPr>
          <w:rStyle w:val="word-wrapper"/>
          <w:sz w:val="30"/>
          <w:szCs w:val="30"/>
          <w:shd w:val="clear" w:color="auto" w:fill="FFFFFF"/>
        </w:rPr>
        <w:t xml:space="preserve">направление биржей </w:t>
      </w:r>
      <w:r w:rsidR="00BB4856" w:rsidRPr="00D20B80">
        <w:rPr>
          <w:rStyle w:val="word-wrapper"/>
          <w:sz w:val="30"/>
          <w:szCs w:val="30"/>
          <w:shd w:val="clear" w:color="auto" w:fill="FFFFFF"/>
        </w:rPr>
        <w:t xml:space="preserve">в случае исполнения обязательств по поставке </w:t>
      </w:r>
      <w:r w:rsidRPr="00D20B80">
        <w:rPr>
          <w:rStyle w:val="word-wrapper"/>
          <w:sz w:val="30"/>
          <w:szCs w:val="30"/>
          <w:shd w:val="clear" w:color="auto" w:fill="FFFFFF"/>
        </w:rPr>
        <w:t xml:space="preserve">в расчетный центр платежных инструкций </w:t>
      </w:r>
      <w:proofErr w:type="gramStart"/>
      <w:r w:rsidRPr="00D20B80">
        <w:rPr>
          <w:rStyle w:val="word-wrapper"/>
          <w:sz w:val="30"/>
          <w:szCs w:val="30"/>
          <w:shd w:val="clear" w:color="auto" w:fill="FFFFFF"/>
        </w:rPr>
        <w:t>в пределах</w:t>
      </w:r>
      <w:proofErr w:type="gramEnd"/>
      <w:r w:rsidRPr="00D20B80">
        <w:rPr>
          <w:rStyle w:val="word-wrapper"/>
          <w:sz w:val="30"/>
          <w:szCs w:val="30"/>
          <w:shd w:val="clear" w:color="auto" w:fill="FFFFFF"/>
        </w:rPr>
        <w:t xml:space="preserve"> перечисленных участниками клиринга на специальный счет биржи денежных средств в сумме, соответствующей сумме платежных обязательств, указанных в биржевой сделке (договоре)</w:t>
      </w:r>
      <w:r w:rsidR="00A37D73" w:rsidRPr="00D20B80">
        <w:rPr>
          <w:rStyle w:val="word-wrapper"/>
          <w:sz w:val="30"/>
          <w:szCs w:val="30"/>
          <w:shd w:val="clear" w:color="auto" w:fill="FFFFFF"/>
        </w:rPr>
        <w:t>;</w:t>
      </w:r>
      <w:r w:rsidR="00BB4856" w:rsidRPr="00D20B80">
        <w:rPr>
          <w:rStyle w:val="word-wrapper"/>
          <w:sz w:val="30"/>
          <w:szCs w:val="30"/>
          <w:shd w:val="clear" w:color="auto" w:fill="FFFFFF"/>
        </w:rPr>
        <w:t xml:space="preserve"> </w:t>
      </w:r>
    </w:p>
    <w:p w14:paraId="033C85D9" w14:textId="450B5585" w:rsidR="001D2272" w:rsidRPr="00D20B80" w:rsidRDefault="001D2272" w:rsidP="00A37D73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20B80">
        <w:rPr>
          <w:sz w:val="30"/>
          <w:szCs w:val="30"/>
        </w:rPr>
        <w:t>возврат по письменному поручению участник</w:t>
      </w:r>
      <w:r w:rsidRPr="00D20B80">
        <w:rPr>
          <w:color w:val="000000" w:themeColor="text1"/>
          <w:sz w:val="30"/>
          <w:szCs w:val="30"/>
        </w:rPr>
        <w:t>а</w:t>
      </w:r>
      <w:r w:rsidRPr="00D20B80">
        <w:rPr>
          <w:sz w:val="30"/>
          <w:szCs w:val="30"/>
        </w:rPr>
        <w:t xml:space="preserve"> клиринга денежных средств, перечисленных им на специальный счет биржи, и не обеспечивающих гарантированного исполнения обязательств, а при отсутствии поручения </w:t>
      </w:r>
      <w:r w:rsidRPr="00D20B80">
        <w:rPr>
          <w:b/>
          <w:bCs/>
          <w:color w:val="000000" w:themeColor="text1"/>
          <w:sz w:val="30"/>
          <w:szCs w:val="30"/>
        </w:rPr>
        <w:t xml:space="preserve">– </w:t>
      </w:r>
      <w:r w:rsidRPr="00D20B80">
        <w:rPr>
          <w:sz w:val="30"/>
          <w:szCs w:val="30"/>
        </w:rPr>
        <w:t>учет данных денежных средств при последующем совершении биржевых сделок (договоров)</w:t>
      </w:r>
      <w:r w:rsidRPr="00D20B80">
        <w:rPr>
          <w:color w:val="000000" w:themeColor="text1"/>
          <w:sz w:val="30"/>
          <w:szCs w:val="30"/>
        </w:rPr>
        <w:t>;</w:t>
      </w:r>
    </w:p>
    <w:p w14:paraId="039F7250" w14:textId="3CB83E58" w:rsidR="00A37D73" w:rsidRPr="00D20B80" w:rsidRDefault="00A37D73" w:rsidP="00A37D73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  <w:shd w:val="clear" w:color="auto" w:fill="FFFFFF"/>
        </w:rPr>
      </w:pPr>
      <w:r w:rsidRPr="00D20B80">
        <w:rPr>
          <w:color w:val="000000" w:themeColor="text1"/>
          <w:sz w:val="30"/>
          <w:szCs w:val="30"/>
        </w:rPr>
        <w:t xml:space="preserve">контроль наличия и достаточности сумм предоставленного участниками клиринга биржевого задатка, </w:t>
      </w:r>
      <w:r w:rsidRPr="00D20B80">
        <w:rPr>
          <w:sz w:val="30"/>
          <w:szCs w:val="30"/>
        </w:rPr>
        <w:t>учет свободной и заблокированной частей биржевого задатка в порядке, установленном локальными правовыми актами биржи;</w:t>
      </w:r>
    </w:p>
    <w:p w14:paraId="6E9DFA0C" w14:textId="25E2F63B" w:rsidR="00A37D73" w:rsidRPr="00D20B80" w:rsidRDefault="00A37D73" w:rsidP="00A37D73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  <w:r w:rsidRPr="00D20B80">
        <w:rPr>
          <w:rStyle w:val="word-wrapper"/>
          <w:sz w:val="30"/>
          <w:szCs w:val="30"/>
          <w:shd w:val="clear" w:color="auto" w:fill="FFFFFF"/>
        </w:rPr>
        <w:t xml:space="preserve">направление биржей в расчетный центр платежных инструкций в пределах перечисленной участником биржевой торговли </w:t>
      </w:r>
      <w:r w:rsidR="009F5722" w:rsidRPr="00D20B80">
        <w:rPr>
          <w:rStyle w:val="word-wrapper"/>
          <w:sz w:val="30"/>
          <w:szCs w:val="30"/>
          <w:shd w:val="clear" w:color="auto" w:fill="FFFFFF"/>
        </w:rPr>
        <w:t xml:space="preserve">на счет биржи </w:t>
      </w:r>
      <w:r w:rsidRPr="00D20B80">
        <w:rPr>
          <w:rStyle w:val="word-wrapper"/>
          <w:sz w:val="30"/>
          <w:szCs w:val="30"/>
          <w:shd w:val="clear" w:color="auto" w:fill="FFFFFF"/>
        </w:rPr>
        <w:t xml:space="preserve">суммы биржевого задатка, </w:t>
      </w:r>
      <w:r w:rsidRPr="00D20B80">
        <w:rPr>
          <w:color w:val="000000" w:themeColor="text1"/>
          <w:sz w:val="30"/>
          <w:szCs w:val="30"/>
        </w:rPr>
        <w:t xml:space="preserve">предоставляемого участником биржевой </w:t>
      </w:r>
      <w:r w:rsidRPr="00D20B80">
        <w:rPr>
          <w:color w:val="000000" w:themeColor="text1"/>
          <w:sz w:val="30"/>
          <w:szCs w:val="30"/>
        </w:rPr>
        <w:lastRenderedPageBreak/>
        <w:t xml:space="preserve">торговли бирже в качестве </w:t>
      </w:r>
      <w:r w:rsidRPr="00D20B80">
        <w:rPr>
          <w:color w:val="000000" w:themeColor="text1"/>
          <w:sz w:val="28"/>
          <w:szCs w:val="28"/>
        </w:rPr>
        <w:t xml:space="preserve">гарантии </w:t>
      </w:r>
      <w:r w:rsidRPr="00D20B80">
        <w:rPr>
          <w:color w:val="000000" w:themeColor="text1"/>
          <w:sz w:val="30"/>
          <w:szCs w:val="30"/>
        </w:rPr>
        <w:t>исполнения обязательств по биржевым сделкам (договорам) и договору на биржевое обслуживание в порядке, предусмотренном локальными правовыми актами биржи;</w:t>
      </w:r>
    </w:p>
    <w:p w14:paraId="5448AA6A" w14:textId="77777777" w:rsidR="00917037" w:rsidRPr="00D20B80" w:rsidRDefault="001E1764" w:rsidP="00917037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  <w:r w:rsidRPr="00D20B80">
        <w:rPr>
          <w:rStyle w:val="word-wrapper"/>
          <w:sz w:val="30"/>
          <w:szCs w:val="30"/>
        </w:rPr>
        <w:t xml:space="preserve">предоставление результатов </w:t>
      </w:r>
      <w:r w:rsidR="00EF5BCB" w:rsidRPr="00D20B80">
        <w:rPr>
          <w:rStyle w:val="word-wrapper"/>
          <w:sz w:val="30"/>
          <w:szCs w:val="30"/>
        </w:rPr>
        <w:t xml:space="preserve">операций </w:t>
      </w:r>
      <w:r w:rsidRPr="00D20B80">
        <w:rPr>
          <w:rStyle w:val="word-wrapper"/>
          <w:sz w:val="30"/>
          <w:szCs w:val="30"/>
        </w:rPr>
        <w:t>участникам клиринга</w:t>
      </w:r>
      <w:r w:rsidR="00917037" w:rsidRPr="00D20B80">
        <w:rPr>
          <w:rStyle w:val="word-wrapper"/>
          <w:sz w:val="30"/>
          <w:szCs w:val="30"/>
        </w:rPr>
        <w:t>;</w:t>
      </w:r>
    </w:p>
    <w:p w14:paraId="516B5BA5" w14:textId="50E9A8F0" w:rsidR="00917037" w:rsidRPr="00D20B80" w:rsidRDefault="001D2272" w:rsidP="00917037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  <w:shd w:val="clear" w:color="auto" w:fill="FFFFFF"/>
        </w:rPr>
      </w:pPr>
      <w:r w:rsidRPr="00D20B80">
        <w:rPr>
          <w:sz w:val="30"/>
          <w:szCs w:val="30"/>
        </w:rPr>
        <w:t>хранение и отражение в учете информации о биржевых сделках (договорах), остатках денежных средств участников клиринга</w:t>
      </w:r>
      <w:r w:rsidR="003A7A96" w:rsidRPr="00D20B80">
        <w:rPr>
          <w:rStyle w:val="word-wrapper"/>
          <w:color w:val="000000" w:themeColor="text1"/>
          <w:sz w:val="30"/>
          <w:szCs w:val="30"/>
        </w:rPr>
        <w:t>.</w:t>
      </w:r>
    </w:p>
    <w:p w14:paraId="6B649FDB" w14:textId="4B9E7DE6" w:rsidR="001D2272" w:rsidRPr="00D20B80" w:rsidRDefault="001D2272" w:rsidP="001D22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0B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(подпункт 1.4 в редакции протокола заседания Правления от 08.08.2024 № 177) </w:t>
      </w:r>
    </w:p>
    <w:p w14:paraId="2DBB0134" w14:textId="785D5ADE" w:rsidR="001D2272" w:rsidRPr="00D20B80" w:rsidRDefault="001D2272" w:rsidP="001D2272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0B80">
        <w:rPr>
          <w:sz w:val="30"/>
          <w:szCs w:val="30"/>
        </w:rPr>
        <w:t>1.5. Доходы и расходы по финансовой и инвестиционной деятельности, возникающие в связи с нахождением денежных средств на счетах биржи в процессе оказания услуг клиринга и исполнения обязательств по договорам на биржевое обслуживание, относятся за счет биржи.</w:t>
      </w:r>
    </w:p>
    <w:p w14:paraId="32667F7A" w14:textId="0E1936F0" w:rsidR="001D2272" w:rsidRPr="00D20B80" w:rsidRDefault="001D2272" w:rsidP="001D22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0B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(подпункт 1.5 введен протоколом заседания Правления от 08.08.2024 № 177) </w:t>
      </w:r>
    </w:p>
    <w:p w14:paraId="0D445A10" w14:textId="162E5A19" w:rsidR="00A770F5" w:rsidRPr="00D20B80" w:rsidRDefault="00A770F5" w:rsidP="0067481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ar-SA"/>
        </w:rPr>
      </w:pPr>
    </w:p>
    <w:p w14:paraId="0B433678" w14:textId="6831B0B8" w:rsidR="003A7A96" w:rsidRPr="00D20B80" w:rsidRDefault="002F0360" w:rsidP="0067481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ar-SA"/>
        </w:rPr>
      </w:pPr>
      <w:r w:rsidRPr="00D20B80">
        <w:rPr>
          <w:rFonts w:ascii="Times New Roman" w:hAnsi="Times New Roman" w:cs="Times New Roman"/>
          <w:sz w:val="30"/>
          <w:szCs w:val="30"/>
          <w:lang w:eastAsia="ar-SA"/>
        </w:rPr>
        <w:t>2. Требования к участникам клиринга, порядок и способы взаимодействия участников клиринга с биржей</w:t>
      </w:r>
    </w:p>
    <w:p w14:paraId="680F80A6" w14:textId="77777777" w:rsidR="002F0360" w:rsidRPr="00D20B80" w:rsidRDefault="002F0360" w:rsidP="0021587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0B80">
        <w:rPr>
          <w:rFonts w:ascii="Times New Roman" w:hAnsi="Times New Roman" w:cs="Times New Roman"/>
          <w:sz w:val="30"/>
          <w:szCs w:val="30"/>
        </w:rPr>
        <w:t xml:space="preserve">2.1. Биржа оказывает участникам биржевой торговли платежные услуги на основании договора присоединения на оказание платежных услуг, определяющего общие условия взаимоотношений сторон при осуществлении платежных операций, и (или) договора на биржевое обслуживание. </w:t>
      </w:r>
    </w:p>
    <w:p w14:paraId="1C069A63" w14:textId="5B45ACBB" w:rsidR="002F0360" w:rsidRPr="00D20B80" w:rsidRDefault="002F0360" w:rsidP="002F036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0B80">
        <w:rPr>
          <w:rFonts w:ascii="Times New Roman" w:hAnsi="Times New Roman" w:cs="Times New Roman"/>
          <w:sz w:val="30"/>
          <w:szCs w:val="30"/>
        </w:rPr>
        <w:t>2.2. Настоящие Правила в соответствии со статьей 398 Гражданского кодекса Республики Беларусь являются договором присоединения на оказание платежных услуг, указанным в подпункте 2.1 настоящего пункта.</w:t>
      </w:r>
    </w:p>
    <w:p w14:paraId="445D96DD" w14:textId="391AAF7F" w:rsidR="002F0360" w:rsidRPr="00D20B80" w:rsidRDefault="002F0360" w:rsidP="002F036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ar-SA"/>
        </w:rPr>
      </w:pPr>
      <w:r w:rsidRPr="00D20B80">
        <w:rPr>
          <w:rFonts w:ascii="Times New Roman" w:hAnsi="Times New Roman" w:cs="Times New Roman"/>
          <w:sz w:val="30"/>
          <w:szCs w:val="30"/>
          <w:lang w:eastAsia="ar-SA"/>
        </w:rPr>
        <w:t>2.3. Участник клиринга считается присоединившимся к настоящим Правилам и изменениям и (или) дополнениям к ним в случае направления в адрес биржи в установленном настоящими Правилами порядке платежных указаний (платежных инструкций</w:t>
      </w:r>
      <w:r w:rsidR="005630F4" w:rsidRPr="00D20B80">
        <w:rPr>
          <w:rFonts w:ascii="Times New Roman" w:hAnsi="Times New Roman" w:cs="Times New Roman"/>
          <w:sz w:val="30"/>
          <w:szCs w:val="30"/>
          <w:lang w:eastAsia="ar-SA"/>
        </w:rPr>
        <w:t>, поручений</w:t>
      </w:r>
      <w:r w:rsidRPr="00D20B80">
        <w:rPr>
          <w:rFonts w:ascii="Times New Roman" w:hAnsi="Times New Roman" w:cs="Times New Roman"/>
          <w:sz w:val="30"/>
          <w:szCs w:val="30"/>
          <w:lang w:eastAsia="ar-SA"/>
        </w:rPr>
        <w:t>).</w:t>
      </w:r>
    </w:p>
    <w:p w14:paraId="55718063" w14:textId="6B3F1105" w:rsidR="002F0360" w:rsidRPr="00D20B80" w:rsidRDefault="002F0360" w:rsidP="002F036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ar-SA"/>
        </w:rPr>
      </w:pPr>
      <w:r w:rsidRPr="00D20B80">
        <w:rPr>
          <w:rFonts w:ascii="Times New Roman" w:hAnsi="Times New Roman" w:cs="Times New Roman"/>
          <w:sz w:val="30"/>
          <w:szCs w:val="30"/>
          <w:lang w:eastAsia="ar-SA"/>
        </w:rPr>
        <w:t xml:space="preserve">2.4. Внесение изменений и (или) дополнений в настоящие Правила осуществляется биржей в одностороннем порядке. </w:t>
      </w:r>
    </w:p>
    <w:p w14:paraId="7E574993" w14:textId="4202B61A" w:rsidR="002F0360" w:rsidRPr="00D20B80" w:rsidRDefault="002F0360" w:rsidP="002F036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ar-SA"/>
        </w:rPr>
      </w:pPr>
      <w:r w:rsidRPr="00D20B80">
        <w:rPr>
          <w:rFonts w:ascii="Times New Roman" w:hAnsi="Times New Roman" w:cs="Times New Roman"/>
          <w:sz w:val="30"/>
          <w:szCs w:val="30"/>
          <w:lang w:eastAsia="ar-SA"/>
        </w:rPr>
        <w:t>2.5. Изменения и (или) дополнения в настоящие Правила публикуются на сайте биржи и вступают в силу на следующий день после их опубликования на указанном сайте. В случае несогласия участника клиринга с изменениями и (или) дополнениями в настоящие Правила, он вправе направить бирже уведомление в письменной форме о расторжении договора не позднее 5 (пяти) дней с даты публикации изменений и (или) дополнений в настоящие Правила.</w:t>
      </w:r>
    </w:p>
    <w:p w14:paraId="75AE9704" w14:textId="7EA1CE1B" w:rsidR="002F0360" w:rsidRPr="00D20B80" w:rsidRDefault="002F0360" w:rsidP="002F036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ar-SA"/>
        </w:rPr>
      </w:pPr>
      <w:r w:rsidRPr="00D20B80">
        <w:rPr>
          <w:rFonts w:ascii="Times New Roman" w:hAnsi="Times New Roman" w:cs="Times New Roman"/>
          <w:sz w:val="30"/>
          <w:szCs w:val="30"/>
        </w:rPr>
        <w:t>2.6. За неисполнение либо ненадлежащее исполнение настоящи</w:t>
      </w:r>
      <w:r w:rsidR="00823BC9" w:rsidRPr="00D20B80">
        <w:rPr>
          <w:rFonts w:ascii="Times New Roman" w:hAnsi="Times New Roman" w:cs="Times New Roman"/>
          <w:sz w:val="30"/>
          <w:szCs w:val="30"/>
        </w:rPr>
        <w:t>х</w:t>
      </w:r>
      <w:r w:rsidRPr="00D20B80">
        <w:rPr>
          <w:rFonts w:ascii="Times New Roman" w:hAnsi="Times New Roman" w:cs="Times New Roman"/>
          <w:sz w:val="30"/>
          <w:szCs w:val="30"/>
        </w:rPr>
        <w:t xml:space="preserve"> Правил биржа и участники клиринга несут ответственность в соответствии с законодательством Республики Беларусь, Правилами биржевой торговли.</w:t>
      </w:r>
    </w:p>
    <w:p w14:paraId="45E47627" w14:textId="75409B66" w:rsidR="002F0360" w:rsidRPr="00D20B80" w:rsidRDefault="002F0360" w:rsidP="002F036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ar-SA"/>
        </w:rPr>
      </w:pPr>
      <w:r w:rsidRPr="00D20B80">
        <w:rPr>
          <w:rFonts w:ascii="Times New Roman" w:hAnsi="Times New Roman" w:cs="Times New Roman"/>
          <w:sz w:val="30"/>
          <w:szCs w:val="30"/>
          <w:lang w:eastAsia="ar-SA"/>
        </w:rPr>
        <w:lastRenderedPageBreak/>
        <w:t>2.7. При расчетах с использованием счетов биржи, согласно условиям зарегистрированных биржевых сделок (договоров), биржа несет ответственность за неисполнение или ненадлежащее исполнение по вине биржи платежных указаний (платежных инструкций</w:t>
      </w:r>
      <w:r w:rsidR="005630F4" w:rsidRPr="00D20B80">
        <w:rPr>
          <w:rFonts w:ascii="Times New Roman" w:hAnsi="Times New Roman" w:cs="Times New Roman"/>
          <w:sz w:val="30"/>
          <w:szCs w:val="30"/>
          <w:lang w:eastAsia="ar-SA"/>
        </w:rPr>
        <w:t>, поручений</w:t>
      </w:r>
      <w:r w:rsidRPr="00D20B80">
        <w:rPr>
          <w:rFonts w:ascii="Times New Roman" w:hAnsi="Times New Roman" w:cs="Times New Roman"/>
          <w:sz w:val="30"/>
          <w:szCs w:val="30"/>
          <w:lang w:eastAsia="ar-SA"/>
        </w:rPr>
        <w:t>) участника клиринга в виде пени из расчета 0,15 % от суммы просроченного платежа за каждый день просрочки.</w:t>
      </w:r>
    </w:p>
    <w:p w14:paraId="42954A2B" w14:textId="3D281562" w:rsidR="00636861" w:rsidRPr="00D20B80" w:rsidRDefault="00636861" w:rsidP="002F036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ar-SA"/>
        </w:rPr>
      </w:pPr>
      <w:r w:rsidRPr="00D20B80">
        <w:rPr>
          <w:rFonts w:ascii="Times New Roman" w:hAnsi="Times New Roman" w:cs="Times New Roman"/>
          <w:sz w:val="30"/>
          <w:szCs w:val="30"/>
          <w:lang w:eastAsia="ar-SA"/>
        </w:rPr>
        <w:t>2.8. Все споры, возникающие между участниками клиринга и биржей разрешаются в порядке, установленном заключенным между ними договором на биржевое обслуживание.</w:t>
      </w:r>
    </w:p>
    <w:p w14:paraId="76B1F0CC" w14:textId="77777777" w:rsidR="00C7624C" w:rsidRPr="00D20B80" w:rsidRDefault="00C7624C" w:rsidP="0067481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ar-SA"/>
        </w:rPr>
      </w:pPr>
    </w:p>
    <w:p w14:paraId="08C3A827" w14:textId="78FB46A1" w:rsidR="00036618" w:rsidRPr="00D20B80" w:rsidRDefault="00036618" w:rsidP="00002A0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3. Порядок и условия включения</w:t>
      </w:r>
      <w:r w:rsidR="00B8232F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обязательств в клиринговый пул (исключения</w:t>
      </w:r>
      <w:r w:rsidR="00B8232F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(прекращения)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обязательств из клирингового пула)</w:t>
      </w:r>
    </w:p>
    <w:p w14:paraId="13FE5DB2" w14:textId="0E1A95FF" w:rsidR="002F41B8" w:rsidRPr="00D20B80" w:rsidRDefault="00036618" w:rsidP="002F41B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3.1. </w:t>
      </w:r>
      <w:r w:rsidR="002F41B8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В клиринговый пул включаются обязательства участника клиринга по биржевым сделкам (договорам), совершенным с использованием специальных счетов биржи</w:t>
      </w:r>
      <w:r w:rsidR="005630F4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порядке, предусмотренном подпунктами 3.2 – 3.11 настоящего пункта</w:t>
      </w:r>
      <w:r w:rsidR="002F41B8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12B2BC4" w14:textId="7C4D8DCC" w:rsidR="00D912A1" w:rsidRPr="00D20B80" w:rsidRDefault="002F41B8" w:rsidP="00D91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3.2. В случае подачи у</w:t>
      </w:r>
      <w:r w:rsidR="00D912A1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частник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ом</w:t>
      </w:r>
      <w:r w:rsidR="00D912A1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биржевой торговли заявк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D912A1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покупку (продажу) 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D912A1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информаци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ей</w:t>
      </w:r>
      <w:r w:rsidR="00D912A1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проведении расчетов по биржевой сделке 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(договору) </w:t>
      </w:r>
      <w:r w:rsidR="00D912A1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с использованием специальных счетов биржи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, б</w:t>
      </w:r>
      <w:r w:rsidR="00D912A1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иржевой договор (дополнительное соглашение), заключенный участниками </w:t>
      </w:r>
      <w:r w:rsidR="0012147A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клиринга</w:t>
      </w:r>
      <w:r w:rsidR="00D912A1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результатам биржевых торгов, должен включать:</w:t>
      </w:r>
    </w:p>
    <w:p w14:paraId="503AE395" w14:textId="6420729C" w:rsidR="00D912A1" w:rsidRPr="00D20B80" w:rsidRDefault="00D912A1" w:rsidP="00D912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требование об осуществлении всех расчетов по данной биржевой сделке (договору) с использованием специальных счетов биржи;</w:t>
      </w:r>
    </w:p>
    <w:p w14:paraId="7E399BC0" w14:textId="77777777" w:rsidR="00D912A1" w:rsidRPr="00D20B80" w:rsidRDefault="00D912A1" w:rsidP="00D912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реквизиты счетов биржи;</w:t>
      </w:r>
    </w:p>
    <w:p w14:paraId="0318FFAD" w14:textId="40544F94" w:rsidR="00D912A1" w:rsidRPr="00D20B80" w:rsidRDefault="00D912A1" w:rsidP="001214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обязательство покупателя по направлению в адрес биржи в течение одного рабочего дня с момента получения биржевого товара в соответствии с условиями биржевой сделки (договора) письменного поручения о перечислении денежных средств со специального счета биржи на счет </w:t>
      </w:r>
      <w:r w:rsidR="0012147A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родавца.</w:t>
      </w:r>
    </w:p>
    <w:p w14:paraId="39D467BE" w14:textId="77EE1DD7" w:rsidR="00D912A1" w:rsidRPr="00D20B80" w:rsidRDefault="00D912A1" w:rsidP="00F92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3.3. Реквизиты специальных счетов биржи размещены на сайте биржи.</w:t>
      </w:r>
    </w:p>
    <w:p w14:paraId="08F20C80" w14:textId="28ECC503" w:rsidR="0012147A" w:rsidRPr="00D20B80" w:rsidRDefault="0012147A" w:rsidP="00121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 w:rsidR="00F925D7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Покупатель обязан перечислить на счета биржи предварительную оплату за товар в объеме и в сроки, установленные условиями зарегистрированного биржевого договора (сделки). В платежном документе покупателем указывается номер и дата биржевого договора, номер биржевой сделки, на основании которых производится перечисление денежных средств на специальные счета биржи, а также наименование контрагента и его учетный номер плательщика или иной аналогичный номер (ИНН и т.п.). </w:t>
      </w:r>
    </w:p>
    <w:p w14:paraId="48D652E1" w14:textId="4F2F6CF7" w:rsidR="0012147A" w:rsidRPr="00D20B80" w:rsidRDefault="0012147A" w:rsidP="00121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 w:rsidR="00F925D7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Биржа в течение одного рабочего дня с момента поступления денежных средств обеспечивает их учет в разрезе конкретного участника 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(его клиента) в соответствии с информацией, указанной в представленных платежных документах, и информирует продавца о поступлении предварительной оплаты и ее сумме посредством размещения уведомления в его Персональном разделе (в Персональном разделе его биржевого брокера).</w:t>
      </w:r>
    </w:p>
    <w:p w14:paraId="61366D69" w14:textId="267302CC" w:rsidR="0012147A" w:rsidRPr="00D20B80" w:rsidRDefault="0012147A" w:rsidP="00121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 w:rsidR="00F925D7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Продавец после получения в Персональном разделе уведомления о поступлении предварительной оплаты по биржевой сделке (договору) осуществляет поставку биржевого товара покупателю в соответствии с условиями биржевой сделки (договора).</w:t>
      </w:r>
    </w:p>
    <w:p w14:paraId="00102FAA" w14:textId="0215B329" w:rsidR="0012147A" w:rsidRPr="00D20B80" w:rsidRDefault="0012147A" w:rsidP="00121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 w:rsidR="00F925D7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. Покупатель обязан в течение одного рабочего дня с момента получения биржевого товара в соответствии с условиями биржевой сделки (договора) направить бирже поручение в письменной форме на бумажном носителе либо в виде электронного документа, подписанного посредством функционала Персонального раздела сайта биржи по форме согласно приложению.</w:t>
      </w:r>
    </w:p>
    <w:p w14:paraId="08012A0F" w14:textId="77777777" w:rsidR="0012147A" w:rsidRPr="00D20B80" w:rsidRDefault="0012147A" w:rsidP="00F92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получения покупателем товара по нескольким биржевым договорам (сделкам), поручение о перечислении денежных средств со счета биржи на счет продавца направляется отдельно по каждому биржевому договору (сделке).</w:t>
      </w:r>
    </w:p>
    <w:p w14:paraId="2FB735C0" w14:textId="29517AA4" w:rsidR="0012147A" w:rsidRPr="00D20B80" w:rsidRDefault="0012147A" w:rsidP="00121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 w:rsidR="00F925D7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. В случае, если продавец осуществил поставку товара покупателю в соответствии с условиями биржевого договора (сделки), однако покупатель в установленный срок не направил бирже поручение о перечислении денежных средств со счета биржи на счет продавца, продавец вправе обратиться на биржу для установления факта поставки товара покупателю в соответствии с условиями биржевого договора (сделки), представив подтверждающие документы.</w:t>
      </w:r>
    </w:p>
    <w:p w14:paraId="2295E601" w14:textId="2A5F7E10" w:rsidR="0012147A" w:rsidRPr="00D20B80" w:rsidRDefault="0012147A" w:rsidP="00121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 w:rsidR="00F925D7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Биржа в течение </w:t>
      </w:r>
      <w:r w:rsidR="00F925D7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одного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рабочего дня, следующего за днем поступления от покупателя поручения на перечисление денежных средств или установления факта получения им товара на основании обращения продавца, осуществляет перечисление соответствующей суммы со </w:t>
      </w:r>
      <w:r w:rsidR="00F925D7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специального 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счета биржи на счет продавца, а также размещает уведомление о проведении данной операции в Персональных разделах участников </w:t>
      </w:r>
      <w:r w:rsidR="00F925D7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клиринга</w:t>
      </w:r>
      <w:r w:rsidR="00E9159E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455F112" w14:textId="77777777" w:rsidR="001D2272" w:rsidRPr="00D20B80" w:rsidRDefault="001D2272" w:rsidP="001D2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Биржа осуществляет перечисление денежных средств покупателя на счета продавца в пределах суммы, ранее перечисленной им на счета биржи и указанной в биржевом договоре.</w:t>
      </w:r>
    </w:p>
    <w:p w14:paraId="6BA5812A" w14:textId="42FD4763" w:rsidR="0012147A" w:rsidRPr="00D20B80" w:rsidRDefault="001D2272" w:rsidP="001D22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0B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(подпункт 3.9 в редакции протокола заседания Правления от 08.08.2024 № 177)</w:t>
      </w:r>
      <w:r w:rsidR="0012147A" w:rsidRPr="00D20B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47590911" w14:textId="331C85A1" w:rsidR="0012147A" w:rsidRPr="00D20B80" w:rsidRDefault="0012147A" w:rsidP="00121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3.1</w:t>
      </w:r>
      <w:r w:rsidR="00F925D7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 случае расторжения биржевого договора либо изменения условий оплаты по биржевому договору, предусматривающих осуществление расчетов с использованием счетов биржи, денежные средства, перечисленные покупателем на счета биржи в соответствии с условиями данного биржевого договора, возвращаются ему в течение </w:t>
      </w:r>
      <w:r w:rsidR="00F925D7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одного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рабочего дня, следующего за днем получения биржей письменного поручения об их возврате.</w:t>
      </w:r>
    </w:p>
    <w:p w14:paraId="3DBD9EBA" w14:textId="5C2BCA5D" w:rsidR="0012147A" w:rsidRPr="00D20B80" w:rsidRDefault="0012147A" w:rsidP="0012147A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3.1</w:t>
      </w:r>
      <w:r w:rsidR="00F925D7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. Особенности осуществления расчетов по биржевым сделкам с использованием счетов биржи могут устанавливаться иными локальными правовыми актами биржи.</w:t>
      </w:r>
    </w:p>
    <w:p w14:paraId="68969140" w14:textId="03963124" w:rsidR="002F41B8" w:rsidRPr="00D20B80" w:rsidRDefault="002F41B8" w:rsidP="002F41B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3.12. В клиринговый пул включаются обязательства участника клиринга по биржевым сделкам (договорам), договорам на биржевое обслуживание, если участник клиринга был допущен к биржевым торгам на условиях предоставления биржевого задатка в порядке, установленном локальными правовыми актами биржи.</w:t>
      </w:r>
    </w:p>
    <w:p w14:paraId="57626650" w14:textId="002C7F68" w:rsidR="002F41B8" w:rsidRPr="00D20B80" w:rsidRDefault="002F41B8" w:rsidP="0012147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участия в биржевых торгах участник</w:t>
      </w:r>
      <w:r w:rsidRPr="00D20B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биржевой торговли </w:t>
      </w:r>
      <w:r w:rsidR="005630F4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порядке, предусмотренном локальными правовыми актами биржи,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630F4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предоставляет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36AD3" w:rsidRPr="00D20B80">
        <w:rPr>
          <w:rFonts w:ascii="Times New Roman" w:hAnsi="Times New Roman" w:cs="Times New Roman"/>
          <w:sz w:val="30"/>
          <w:szCs w:val="30"/>
        </w:rPr>
        <w:t>в качестве обеспечения исполнения обязательств по конкретной биржевой сделке (договору) и договору на биржевое обслуживание</w:t>
      </w:r>
      <w:r w:rsidR="00E36AD3" w:rsidRPr="00D20B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D20B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биржевой 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задаток в сумме, равной либо превышающей минимальный размер </w:t>
      </w:r>
      <w:r w:rsidRPr="00D20B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биржевого 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задатка</w:t>
      </w:r>
      <w:r w:rsidR="00E36AD3" w:rsidRPr="00D20B80">
        <w:rPr>
          <w:rFonts w:ascii="Times New Roman" w:hAnsi="Times New Roman" w:cs="Times New Roman"/>
          <w:sz w:val="30"/>
          <w:szCs w:val="30"/>
        </w:rPr>
        <w:t>.</w:t>
      </w:r>
    </w:p>
    <w:p w14:paraId="4DE4179F" w14:textId="1915F9EF" w:rsidR="00E36AD3" w:rsidRPr="00D20B80" w:rsidRDefault="00E36AD3" w:rsidP="00E36AD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обеспечения исполнения обязательств участниками биржевым задатком регулируются Положением о предоставлении участником биржевой торговли биржевого задатка в качестве способа обеспечения исполнения обязательств по биржевым сделкам (договорам) и договору на биржевое обслуживание утвержденным Постановлением Правления ОАО «Белорусская универсальная товарная биржа» от 08.01.2007 №1 (далее – Положение).</w:t>
      </w:r>
    </w:p>
    <w:p w14:paraId="019FC008" w14:textId="77777777" w:rsidR="002F41B8" w:rsidRPr="00D20B80" w:rsidRDefault="002F41B8" w:rsidP="0012147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AA7E197" w14:textId="14C62C9A" w:rsidR="0074548C" w:rsidRPr="00D20B80" w:rsidRDefault="0074548C" w:rsidP="0074548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4. Порядок и условия исключения обязательств из клирингового пула (прекращения обязательств)</w:t>
      </w:r>
    </w:p>
    <w:p w14:paraId="1573DD33" w14:textId="2B366E95" w:rsidR="004509F2" w:rsidRPr="00D20B80" w:rsidRDefault="0074548C" w:rsidP="00002A0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4509F2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4509F2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. Обязательства участника клиринга по биржевым сделкам (договорам), совершенным с использованием специальных счетов биржи, и включенны</w:t>
      </w:r>
      <w:r w:rsidR="00616988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4509F2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клиринговый пул, подлежат </w:t>
      </w:r>
      <w:r w:rsidR="00A81ABB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прекращению </w:t>
      </w:r>
      <w:r w:rsidR="00616988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исполнением обязательств:</w:t>
      </w:r>
    </w:p>
    <w:p w14:paraId="1B672F64" w14:textId="38F3414C" w:rsidR="00616988" w:rsidRPr="00D20B80" w:rsidRDefault="00616988" w:rsidP="00002A0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</w:t>
      </w:r>
      <w:r w:rsidR="005630F4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ом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клиринга-покупател</w:t>
      </w:r>
      <w:r w:rsidR="005630F4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ем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перечислению на специальный счет денежных средств </w:t>
      </w:r>
      <w:r w:rsidR="001C2728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(предварительной оплаты) 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конкретной биржевой сделке (договору) за </w:t>
      </w:r>
      <w:r w:rsidR="001C2728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биржевой 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товар в размере суммы платежного обязательства и в сроки, установленные условиями биржевого договора (сделки)</w:t>
      </w:r>
      <w:r w:rsidR="001C2728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0CD79C97" w14:textId="6B7A0C4D" w:rsidR="001C2728" w:rsidRPr="00D20B80" w:rsidRDefault="001C2728" w:rsidP="00002A0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</w:t>
      </w:r>
      <w:r w:rsidR="00F15EEC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ом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клиринга-продавц</w:t>
      </w:r>
      <w:r w:rsidR="00F15EEC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ом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поставке биржевого товара в соответствии с условиями биржевой сделки (договора);</w:t>
      </w:r>
    </w:p>
    <w:p w14:paraId="0E56ADFA" w14:textId="2CBA1BBB" w:rsidR="001C2728" w:rsidRPr="00D20B80" w:rsidRDefault="001C2728" w:rsidP="00002A0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</w:t>
      </w:r>
      <w:r w:rsidR="00F15EEC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ом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клиринга-покупател</w:t>
      </w:r>
      <w:r w:rsidR="00F15EEC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ем по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A6C8C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направлению в адрес биржи поручения на перечисление со специального счета биржи денежных средств в адрес участника клиринга-продавца.</w:t>
      </w:r>
    </w:p>
    <w:p w14:paraId="0E5CA6AB" w14:textId="01462211" w:rsidR="00B53BD2" w:rsidRPr="00D20B80" w:rsidRDefault="00EA7C63" w:rsidP="00B53BD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4</w:t>
      </w:r>
      <w:r w:rsidR="00A35A36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74548C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A35A36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. Обязательства участника клиринга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</w:t>
      </w:r>
      <w:r w:rsidR="00A35A36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биржевым сделкам (договорам), совершенным с предоставлением биржевого задатка, </w:t>
      </w:r>
      <w:r w:rsidR="00A35A36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  <w:r w:rsidR="00B53BD2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договору на биржевое обслуживание</w:t>
      </w:r>
      <w:r w:rsidR="00AB27F2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, включенные в клиринговый пул,</w:t>
      </w:r>
      <w:r w:rsidR="00B53BD2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B27F2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подлежат прекращению </w:t>
      </w:r>
      <w:r w:rsidR="00880C8D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их </w:t>
      </w:r>
      <w:r w:rsidR="00AB27F2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исполнением</w:t>
      </w:r>
      <w:r w:rsidR="00B53BD2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A3F72A1" w14:textId="708E34CD" w:rsidR="003A6C8C" w:rsidRPr="00D20B80" w:rsidRDefault="00EA7C63" w:rsidP="00002A0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3A6C8C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74548C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3A6C8C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. Обязательства участник</w:t>
      </w:r>
      <w:r w:rsidR="00517E6B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="003A6C8C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клиринга исключаются из клирингового пула </w:t>
      </w:r>
      <w:r w:rsidR="00517E6B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заключении соглашения</w:t>
      </w:r>
      <w:r w:rsidR="00D06785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 изменении биржевой сделки (договора), </w:t>
      </w:r>
      <w:r w:rsidR="00D412B1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которым обязательство не подлежит включению в клиринговый пул согласно настоящим Правилам,</w:t>
      </w:r>
      <w:r w:rsidR="00EF2FDA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либо</w:t>
      </w:r>
      <w:r w:rsidR="00517E6B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412B1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соглашения </w:t>
      </w:r>
      <w:r w:rsidR="00517E6B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расторжении биржевой сделки (договора), зарегистрированного биржей в установленном ею порядке, либо расторжении договора на биржевое обслуживания. </w:t>
      </w:r>
    </w:p>
    <w:p w14:paraId="0FECCB20" w14:textId="661277BA" w:rsidR="001C2728" w:rsidRPr="00D20B80" w:rsidRDefault="001C2728" w:rsidP="00002A0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EE18333" w14:textId="77777777" w:rsidR="00EA7C63" w:rsidRPr="00D20B80" w:rsidRDefault="00EA7C63" w:rsidP="00EA7C6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5.</w:t>
      </w:r>
      <w:r w:rsidRPr="00D20B80">
        <w:t xml:space="preserve"> 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ЧРЕЗВЫЧАЙНЫЕ СИТУАЦИИ</w:t>
      </w:r>
    </w:p>
    <w:p w14:paraId="1C7317EB" w14:textId="77777777" w:rsidR="00EA7C63" w:rsidRPr="00D20B80" w:rsidRDefault="00EA7C63" w:rsidP="00EA7C6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5.1. Под чрезвычайными обстоятельствами при осуществлении клиринга и расчетов понимаются обстоятельства, которые нарушили, нарушают или могут нарушить нормальный порядок осуществления клиринга и расчетов. К таким обстоятельствам относятся:</w:t>
      </w:r>
    </w:p>
    <w:p w14:paraId="0669446D" w14:textId="77777777" w:rsidR="00EA7C63" w:rsidRPr="00D20B80" w:rsidRDefault="00EA7C63" w:rsidP="00EA7C6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5.1.1. принятие или любые изменения законодательных или иных актов государственных органов Республики Беларусь, в том числе Национального банка, либо распоряжения данных органов, инструкции, указания, которые делают или могут сделать невозможным осуществление клиринга и расчетов в порядке, установленном настоящими Правилами;</w:t>
      </w:r>
    </w:p>
    <w:p w14:paraId="0F72C9F7" w14:textId="0E8A9B3F" w:rsidR="00EA7C63" w:rsidRPr="00D20B80" w:rsidRDefault="00EA7C63" w:rsidP="00EA7C6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5.1.2. несвоевременное зачисление участником клиринга и</w:t>
      </w:r>
      <w:r w:rsidR="001A62A1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</w:t>
      </w:r>
      <w:r w:rsidR="001A62A1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A62A1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иржей денежных средств в иностранной валюте, вызванное проведением процедур комплаенс-контроля в банках-корреспондентах, используемых участниками клиринга для осуществления расчетов, и</w:t>
      </w:r>
      <w:r w:rsidR="001A62A1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</w:t>
      </w:r>
      <w:r w:rsidR="001A62A1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расчетных банках </w:t>
      </w:r>
      <w:r w:rsidR="001A62A1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иржи;</w:t>
      </w:r>
    </w:p>
    <w:p w14:paraId="41BABD55" w14:textId="77777777" w:rsidR="00EA7C63" w:rsidRPr="00D20B80" w:rsidRDefault="00EA7C63" w:rsidP="00EA7C6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5.1.3. сбои в работе платежных систем;</w:t>
      </w:r>
    </w:p>
    <w:p w14:paraId="33FE2CFD" w14:textId="77777777" w:rsidR="00EA7C63" w:rsidRPr="00D20B80" w:rsidRDefault="00EA7C63" w:rsidP="00EA7C6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5.1.4. сбои в работе электроснабжения, вычислительной техники, систем связи, включая средства телекоммуникаций;</w:t>
      </w:r>
    </w:p>
    <w:p w14:paraId="3910A7D9" w14:textId="77777777" w:rsidR="00EA7C63" w:rsidRPr="00D20B80" w:rsidRDefault="00EA7C63" w:rsidP="00EA7C6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5.1.5. обстоятельства непреодолимой силы (пожары, аварии, стихийные бедствия), а также действия, которые могут быть приравнены к обстоятельствам непреодолимой силы (в том числе военные действия, акты террора, диверсии и саботажа, забастовки);</w:t>
      </w:r>
    </w:p>
    <w:p w14:paraId="4F0403AD" w14:textId="77777777" w:rsidR="00EA7C63" w:rsidRPr="00D20B80" w:rsidRDefault="00EA7C63" w:rsidP="00EA7C6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5.1.6. иные обстоятельства, препятствующие проведению клиринга и</w:t>
      </w:r>
    </w:p>
    <w:p w14:paraId="680DE780" w14:textId="2C73E9B4" w:rsidR="00EA7C63" w:rsidRPr="00D20B80" w:rsidRDefault="001A62A1" w:rsidP="001A62A1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проводимых биржей платежных операций</w:t>
      </w:r>
      <w:r w:rsidR="00EA7C63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которые находятся вне контроля 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r w:rsidR="00EA7C63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иржи.</w:t>
      </w:r>
    </w:p>
    <w:p w14:paraId="787709AA" w14:textId="432212F2" w:rsidR="00EA7C63" w:rsidRPr="00D20B80" w:rsidRDefault="00EA7C63" w:rsidP="00EA7C6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5.2. При наступлении чрезвычайных обстоятельств </w:t>
      </w:r>
      <w:r w:rsidR="001A62A1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иржа осуществляет мероприятия, необходимые для восстановления нормального порядка осуществления клиринга и расчетов, о чем 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оповещает участников клиринга доступными в данной ситуации средствами.</w:t>
      </w:r>
    </w:p>
    <w:p w14:paraId="5BC11A99" w14:textId="1F224D61" w:rsidR="00EA7C63" w:rsidRPr="00D20B80" w:rsidRDefault="00EA7C63" w:rsidP="00EA7C6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5.</w:t>
      </w:r>
      <w:r w:rsidR="00D32D0E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Решения </w:t>
      </w:r>
      <w:r w:rsidR="001A62A1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иржи по урегулированию чрезвычайных обстоятельств являются обязательными для исполнения всеми участниками клиринга.</w:t>
      </w:r>
    </w:p>
    <w:p w14:paraId="1A2650BA" w14:textId="3632855C" w:rsidR="00EA7C63" w:rsidRPr="00170179" w:rsidRDefault="00EA7C63" w:rsidP="00EA7C6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5.</w:t>
      </w:r>
      <w:r w:rsidR="00D32D0E"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D20B80">
        <w:rPr>
          <w:rFonts w:ascii="Times New Roman" w:eastAsia="Times New Roman" w:hAnsi="Times New Roman" w:cs="Times New Roman"/>
          <w:sz w:val="30"/>
          <w:szCs w:val="30"/>
          <w:lang w:eastAsia="ru-RU"/>
        </w:rPr>
        <w:t>. Биржа не несет ответственности за убытки, которые могут возникнуть у участника клиринга при наступлении чрезвычайных обстоятельств.</w:t>
      </w:r>
    </w:p>
    <w:p w14:paraId="6D87FDD9" w14:textId="15226186" w:rsidR="00EA7C63" w:rsidRDefault="00EA7C63" w:rsidP="00002A0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3041689" w14:textId="77777777" w:rsidR="00EA7C63" w:rsidRDefault="00EA7C63" w:rsidP="00002A0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5AF4A47" w14:textId="05DD02F8" w:rsidR="004F6AE4" w:rsidRDefault="004F6AE4" w:rsidP="00725531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</w:p>
    <w:p w14:paraId="4C019802" w14:textId="77777777" w:rsidR="000A134E" w:rsidRDefault="000A134E" w:rsidP="00725531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</w:p>
    <w:sectPr w:rsidR="000A134E" w:rsidSect="00B60500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9D000" w14:textId="77777777" w:rsidR="0074548C" w:rsidRDefault="0074548C" w:rsidP="00B60500">
      <w:pPr>
        <w:spacing w:after="0" w:line="240" w:lineRule="auto"/>
      </w:pPr>
      <w:r>
        <w:separator/>
      </w:r>
    </w:p>
  </w:endnote>
  <w:endnote w:type="continuationSeparator" w:id="0">
    <w:p w14:paraId="2B6DB25E" w14:textId="77777777" w:rsidR="0074548C" w:rsidRDefault="0074548C" w:rsidP="00B6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6DB4F" w14:textId="77777777" w:rsidR="0074548C" w:rsidRDefault="0074548C" w:rsidP="00B60500">
      <w:pPr>
        <w:spacing w:after="0" w:line="240" w:lineRule="auto"/>
      </w:pPr>
      <w:r>
        <w:separator/>
      </w:r>
    </w:p>
  </w:footnote>
  <w:footnote w:type="continuationSeparator" w:id="0">
    <w:p w14:paraId="24A63139" w14:textId="77777777" w:rsidR="0074548C" w:rsidRDefault="0074548C" w:rsidP="00B60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9836544"/>
      <w:docPartObj>
        <w:docPartGallery w:val="Page Numbers (Top of Page)"/>
        <w:docPartUnique/>
      </w:docPartObj>
    </w:sdtPr>
    <w:sdtEndPr/>
    <w:sdtContent>
      <w:p w14:paraId="1724F269" w14:textId="2EFDAAA8" w:rsidR="0074548C" w:rsidRDefault="0074548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D0E">
          <w:rPr>
            <w:noProof/>
          </w:rPr>
          <w:t>2</w:t>
        </w:r>
        <w:r>
          <w:fldChar w:fldCharType="end"/>
        </w:r>
      </w:p>
    </w:sdtContent>
  </w:sdt>
  <w:p w14:paraId="66239618" w14:textId="77777777" w:rsidR="0074548C" w:rsidRDefault="0074548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2564"/>
    <w:multiLevelType w:val="hybridMultilevel"/>
    <w:tmpl w:val="920C6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3469B"/>
    <w:multiLevelType w:val="hybridMultilevel"/>
    <w:tmpl w:val="3110B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477B4"/>
    <w:multiLevelType w:val="hybridMultilevel"/>
    <w:tmpl w:val="45425A26"/>
    <w:lvl w:ilvl="0" w:tplc="F316340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 w15:restartNumberingAfterBreak="0">
    <w:nsid w:val="60833DD3"/>
    <w:multiLevelType w:val="multilevel"/>
    <w:tmpl w:val="17FECB8C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  <w:sz w:val="3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Times New Roman" w:hint="default"/>
        <w:sz w:val="3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  <w:sz w:val="3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  <w:sz w:val="3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  <w:sz w:val="3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  <w:sz w:val="3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  <w:sz w:val="3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  <w:sz w:val="3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  <w:sz w:val="30"/>
      </w:rPr>
    </w:lvl>
  </w:abstractNum>
  <w:abstractNum w:abstractNumId="4" w15:restartNumberingAfterBreak="0">
    <w:nsid w:val="68DB6A2A"/>
    <w:multiLevelType w:val="hybridMultilevel"/>
    <w:tmpl w:val="E5128EF4"/>
    <w:lvl w:ilvl="0" w:tplc="1616BF1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7B5628"/>
    <w:multiLevelType w:val="multilevel"/>
    <w:tmpl w:val="1E609310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  <w:color w:val="auto"/>
        <w:sz w:val="30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eastAsia="Times New Roman" w:hint="default"/>
        <w:color w:val="auto"/>
        <w:sz w:val="3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eastAsia="Times New Roman" w:hint="default"/>
        <w:color w:val="auto"/>
        <w:sz w:val="30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eastAsia="Times New Roman" w:hint="default"/>
        <w:color w:val="auto"/>
        <w:sz w:val="3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eastAsia="Times New Roman" w:hint="default"/>
        <w:color w:val="auto"/>
        <w:sz w:val="30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eastAsia="Times New Roman" w:hint="default"/>
        <w:color w:val="auto"/>
        <w:sz w:val="3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eastAsia="Times New Roman" w:hint="default"/>
        <w:color w:val="auto"/>
        <w:sz w:val="30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eastAsia="Times New Roman" w:hint="default"/>
        <w:color w:val="auto"/>
        <w:sz w:val="30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eastAsia="Times New Roman" w:hint="default"/>
        <w:color w:val="auto"/>
        <w:sz w:val="3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9A0"/>
    <w:rsid w:val="00000834"/>
    <w:rsid w:val="00002A04"/>
    <w:rsid w:val="00014658"/>
    <w:rsid w:val="00015FD5"/>
    <w:rsid w:val="0001677A"/>
    <w:rsid w:val="00036618"/>
    <w:rsid w:val="00037029"/>
    <w:rsid w:val="000A134E"/>
    <w:rsid w:val="000B1094"/>
    <w:rsid w:val="000B138E"/>
    <w:rsid w:val="000C1D1F"/>
    <w:rsid w:val="00100916"/>
    <w:rsid w:val="00115BEC"/>
    <w:rsid w:val="0012147A"/>
    <w:rsid w:val="0015718B"/>
    <w:rsid w:val="00170179"/>
    <w:rsid w:val="00180CD0"/>
    <w:rsid w:val="001A62A1"/>
    <w:rsid w:val="001B7333"/>
    <w:rsid w:val="001C2728"/>
    <w:rsid w:val="001D2272"/>
    <w:rsid w:val="001E1764"/>
    <w:rsid w:val="00215875"/>
    <w:rsid w:val="00230C23"/>
    <w:rsid w:val="00275CE7"/>
    <w:rsid w:val="0029608A"/>
    <w:rsid w:val="002E2DE1"/>
    <w:rsid w:val="002E4146"/>
    <w:rsid w:val="002F0360"/>
    <w:rsid w:val="002F41B8"/>
    <w:rsid w:val="00303BB2"/>
    <w:rsid w:val="00316C0E"/>
    <w:rsid w:val="0032754E"/>
    <w:rsid w:val="00331F6B"/>
    <w:rsid w:val="0033220E"/>
    <w:rsid w:val="00336497"/>
    <w:rsid w:val="003378CD"/>
    <w:rsid w:val="003732FC"/>
    <w:rsid w:val="00374A3E"/>
    <w:rsid w:val="003A66EB"/>
    <w:rsid w:val="003A6C8C"/>
    <w:rsid w:val="003A7A96"/>
    <w:rsid w:val="003B220B"/>
    <w:rsid w:val="003E2BC6"/>
    <w:rsid w:val="003F519C"/>
    <w:rsid w:val="00432CBE"/>
    <w:rsid w:val="004509F2"/>
    <w:rsid w:val="00452C82"/>
    <w:rsid w:val="004762AF"/>
    <w:rsid w:val="00480466"/>
    <w:rsid w:val="004A4645"/>
    <w:rsid w:val="004C3B0C"/>
    <w:rsid w:val="004F2159"/>
    <w:rsid w:val="004F5FD0"/>
    <w:rsid w:val="004F6AE4"/>
    <w:rsid w:val="0050101B"/>
    <w:rsid w:val="00516EF3"/>
    <w:rsid w:val="00517E6B"/>
    <w:rsid w:val="00523D61"/>
    <w:rsid w:val="00540FC6"/>
    <w:rsid w:val="005630F4"/>
    <w:rsid w:val="0056568C"/>
    <w:rsid w:val="005B693F"/>
    <w:rsid w:val="005D257F"/>
    <w:rsid w:val="005D3BFC"/>
    <w:rsid w:val="005E37EE"/>
    <w:rsid w:val="00616988"/>
    <w:rsid w:val="00632674"/>
    <w:rsid w:val="00636861"/>
    <w:rsid w:val="0067481F"/>
    <w:rsid w:val="006D2842"/>
    <w:rsid w:val="006F2A2B"/>
    <w:rsid w:val="0070163B"/>
    <w:rsid w:val="00710061"/>
    <w:rsid w:val="00721820"/>
    <w:rsid w:val="00725531"/>
    <w:rsid w:val="007338B6"/>
    <w:rsid w:val="007358A1"/>
    <w:rsid w:val="0074548C"/>
    <w:rsid w:val="00774D34"/>
    <w:rsid w:val="00793E74"/>
    <w:rsid w:val="007B4A5C"/>
    <w:rsid w:val="0082264A"/>
    <w:rsid w:val="00823BC9"/>
    <w:rsid w:val="008650C6"/>
    <w:rsid w:val="00877762"/>
    <w:rsid w:val="00880C8D"/>
    <w:rsid w:val="008D6C54"/>
    <w:rsid w:val="008E13B3"/>
    <w:rsid w:val="008F30FF"/>
    <w:rsid w:val="0090127C"/>
    <w:rsid w:val="00907286"/>
    <w:rsid w:val="00917037"/>
    <w:rsid w:val="00937A3C"/>
    <w:rsid w:val="00955145"/>
    <w:rsid w:val="009A37A9"/>
    <w:rsid w:val="009F5722"/>
    <w:rsid w:val="00A35A36"/>
    <w:rsid w:val="00A37D73"/>
    <w:rsid w:val="00A57613"/>
    <w:rsid w:val="00A7538B"/>
    <w:rsid w:val="00A75D5B"/>
    <w:rsid w:val="00A770F5"/>
    <w:rsid w:val="00A81ABB"/>
    <w:rsid w:val="00AA13F7"/>
    <w:rsid w:val="00AB27F2"/>
    <w:rsid w:val="00B435E0"/>
    <w:rsid w:val="00B53BD2"/>
    <w:rsid w:val="00B53D53"/>
    <w:rsid w:val="00B60500"/>
    <w:rsid w:val="00B8232F"/>
    <w:rsid w:val="00B87342"/>
    <w:rsid w:val="00B907F3"/>
    <w:rsid w:val="00B97E37"/>
    <w:rsid w:val="00BA3DFE"/>
    <w:rsid w:val="00BA6C26"/>
    <w:rsid w:val="00BB4856"/>
    <w:rsid w:val="00BF17AE"/>
    <w:rsid w:val="00C10C61"/>
    <w:rsid w:val="00C25AD2"/>
    <w:rsid w:val="00C4412F"/>
    <w:rsid w:val="00C7248B"/>
    <w:rsid w:val="00C7624C"/>
    <w:rsid w:val="00C94A94"/>
    <w:rsid w:val="00C94CF2"/>
    <w:rsid w:val="00C96BAB"/>
    <w:rsid w:val="00CB45ED"/>
    <w:rsid w:val="00CC6418"/>
    <w:rsid w:val="00CE5D78"/>
    <w:rsid w:val="00D06785"/>
    <w:rsid w:val="00D077B2"/>
    <w:rsid w:val="00D20B80"/>
    <w:rsid w:val="00D2548E"/>
    <w:rsid w:val="00D32D0E"/>
    <w:rsid w:val="00D412B1"/>
    <w:rsid w:val="00D4393C"/>
    <w:rsid w:val="00D6787B"/>
    <w:rsid w:val="00D76C1F"/>
    <w:rsid w:val="00D82F75"/>
    <w:rsid w:val="00D912A1"/>
    <w:rsid w:val="00DB0B79"/>
    <w:rsid w:val="00DC257C"/>
    <w:rsid w:val="00DE2E53"/>
    <w:rsid w:val="00DF108A"/>
    <w:rsid w:val="00E01236"/>
    <w:rsid w:val="00E1382D"/>
    <w:rsid w:val="00E31398"/>
    <w:rsid w:val="00E36AD3"/>
    <w:rsid w:val="00E43CF3"/>
    <w:rsid w:val="00E47BE3"/>
    <w:rsid w:val="00E50357"/>
    <w:rsid w:val="00E559A0"/>
    <w:rsid w:val="00E700A0"/>
    <w:rsid w:val="00E9159E"/>
    <w:rsid w:val="00E954FF"/>
    <w:rsid w:val="00EA7C63"/>
    <w:rsid w:val="00ED4585"/>
    <w:rsid w:val="00EE73C6"/>
    <w:rsid w:val="00EF2FDA"/>
    <w:rsid w:val="00EF5BCB"/>
    <w:rsid w:val="00F03BC1"/>
    <w:rsid w:val="00F104BE"/>
    <w:rsid w:val="00F15EEC"/>
    <w:rsid w:val="00F62888"/>
    <w:rsid w:val="00F674A2"/>
    <w:rsid w:val="00F750E9"/>
    <w:rsid w:val="00F925D7"/>
    <w:rsid w:val="00FA66E4"/>
    <w:rsid w:val="00FA6A30"/>
    <w:rsid w:val="00FE0D52"/>
    <w:rsid w:val="00FE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D9CA"/>
  <w15:docId w15:val="{0DFD6EDE-10BB-40FE-9668-F02DF68F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C54"/>
    <w:pPr>
      <w:ind w:left="720"/>
      <w:contextualSpacing/>
    </w:pPr>
  </w:style>
  <w:style w:type="character" w:customStyle="1" w:styleId="word-wrapper">
    <w:name w:val="word-wrapper"/>
    <w:basedOn w:val="a0"/>
    <w:rsid w:val="008D6C54"/>
  </w:style>
  <w:style w:type="paragraph" w:customStyle="1" w:styleId="1">
    <w:name w:val="Знак1"/>
    <w:basedOn w:val="a"/>
    <w:autoRedefine/>
    <w:rsid w:val="00303BB2"/>
    <w:pPr>
      <w:spacing w:line="36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p-normal">
    <w:name w:val="p-normal"/>
    <w:basedOn w:val="a"/>
    <w:rsid w:val="004C3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4C3B0C"/>
  </w:style>
  <w:style w:type="paragraph" w:styleId="a4">
    <w:name w:val="Balloon Text"/>
    <w:basedOn w:val="a"/>
    <w:link w:val="a5"/>
    <w:uiPriority w:val="99"/>
    <w:semiHidden/>
    <w:unhideWhenUsed/>
    <w:rsid w:val="00955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5145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C10C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C10C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F104BE"/>
    <w:rPr>
      <w:color w:val="0000FF"/>
      <w:u w:val="single"/>
    </w:rPr>
  </w:style>
  <w:style w:type="paragraph" w:customStyle="1" w:styleId="ConsNonformat">
    <w:name w:val="ConsNonformat"/>
    <w:rsid w:val="00F104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7481F"/>
    <w:rPr>
      <w:color w:val="605E5C"/>
      <w:shd w:val="clear" w:color="auto" w:fill="E1DFDD"/>
    </w:rPr>
  </w:style>
  <w:style w:type="paragraph" w:customStyle="1" w:styleId="il-text-alignjustify">
    <w:name w:val="il-text-align_justify"/>
    <w:basedOn w:val="a"/>
    <w:rsid w:val="0070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7016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0163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016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0163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0163B"/>
    <w:rPr>
      <w:b/>
      <w:bCs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33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378CD"/>
    <w:rPr>
      <w:b/>
      <w:bCs/>
    </w:rPr>
  </w:style>
  <w:style w:type="paragraph" w:styleId="ae">
    <w:name w:val="header"/>
    <w:basedOn w:val="a"/>
    <w:link w:val="af"/>
    <w:uiPriority w:val="99"/>
    <w:unhideWhenUsed/>
    <w:rsid w:val="00B60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60500"/>
  </w:style>
  <w:style w:type="paragraph" w:styleId="af0">
    <w:name w:val="footer"/>
    <w:basedOn w:val="a"/>
    <w:link w:val="af1"/>
    <w:uiPriority w:val="99"/>
    <w:unhideWhenUsed/>
    <w:rsid w:val="00B60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60500"/>
  </w:style>
  <w:style w:type="table" w:styleId="af2">
    <w:name w:val="Table Grid"/>
    <w:basedOn w:val="a1"/>
    <w:uiPriority w:val="39"/>
    <w:rsid w:val="002F0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rsid w:val="00E36AD3"/>
    <w:pPr>
      <w:widowControl w:val="0"/>
      <w:tabs>
        <w:tab w:val="left" w:pos="567"/>
        <w:tab w:val="left" w:pos="1134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E36AD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b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610DA-359A-4EFE-A765-8ADF8FA5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2411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 Наталья Михайловна</dc:creator>
  <cp:lastModifiedBy>Свистунов Егор Петрович</cp:lastModifiedBy>
  <cp:revision>5</cp:revision>
  <cp:lastPrinted>2023-03-24T13:00:00Z</cp:lastPrinted>
  <dcterms:created xsi:type="dcterms:W3CDTF">2023-03-24T13:10:00Z</dcterms:created>
  <dcterms:modified xsi:type="dcterms:W3CDTF">2024-08-22T05:32:00Z</dcterms:modified>
</cp:coreProperties>
</file>