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D8" w:rsidRPr="00401264" w:rsidRDefault="000456D8" w:rsidP="000456D8">
      <w:pPr>
        <w:pStyle w:val="a3"/>
        <w:spacing w:before="0" w:beforeAutospacing="0" w:after="70" w:afterAutospacing="0"/>
        <w:ind w:firstLine="360"/>
        <w:jc w:val="center"/>
        <w:rPr>
          <w:rStyle w:val="tlid-translation"/>
          <w:b/>
          <w:bCs/>
          <w:lang w:val="be-BY"/>
        </w:rPr>
      </w:pPr>
      <w:r w:rsidRPr="00401264">
        <w:rPr>
          <w:rStyle w:val="tlid-translation"/>
          <w:b/>
          <w:bCs/>
          <w:lang w:val="be-BY"/>
        </w:rPr>
        <w:t>Аб маркіроўцы тавару</w:t>
      </w:r>
    </w:p>
    <w:p w:rsidR="000456D8" w:rsidRDefault="000456D8" w:rsidP="000456D8">
      <w:pPr>
        <w:pStyle w:val="a3"/>
        <w:spacing w:before="0" w:beforeAutospacing="0" w:after="70" w:afterAutospacing="0"/>
        <w:ind w:firstLine="360"/>
        <w:jc w:val="both"/>
        <w:rPr>
          <w:rStyle w:val="tlid-translation"/>
          <w:lang w:val="be-BY"/>
        </w:rPr>
      </w:pPr>
      <w:r>
        <w:rPr>
          <w:rStyle w:val="tlid-translation"/>
          <w:lang w:val="be-BY"/>
        </w:rPr>
        <w:t>Пры прыёмцы тавару пакупніку неабходна пераканацца, што тавар прамаркіраваны і запакаваная ў адпаведнасці з патрабаваннямі, названымі ў тэхнічнай дакументацыі на выраб.</w:t>
      </w:r>
    </w:p>
    <w:p w:rsidR="000456D8" w:rsidRPr="00401264" w:rsidRDefault="000456D8" w:rsidP="000456D8">
      <w:pPr>
        <w:pStyle w:val="a3"/>
        <w:spacing w:before="0" w:beforeAutospacing="0" w:after="70" w:afterAutospacing="0"/>
        <w:ind w:firstLine="360"/>
        <w:jc w:val="center"/>
        <w:rPr>
          <w:rStyle w:val="tlid-translation"/>
          <w:b/>
          <w:bCs/>
          <w:lang w:val="be-BY"/>
        </w:rPr>
      </w:pPr>
      <w:r w:rsidRPr="00401264">
        <w:rPr>
          <w:rStyle w:val="tlid-translation"/>
          <w:b/>
          <w:bCs/>
          <w:lang w:val="be-BY"/>
        </w:rPr>
        <w:t xml:space="preserve">Даведачная інфармацыя </w:t>
      </w:r>
    </w:p>
    <w:p w:rsidR="000456D8" w:rsidRPr="00431E34" w:rsidRDefault="000456D8" w:rsidP="000456D8">
      <w:pPr>
        <w:pStyle w:val="a3"/>
        <w:spacing w:before="0" w:beforeAutospacing="0" w:after="70" w:afterAutospacing="0"/>
        <w:ind w:firstLine="360"/>
        <w:jc w:val="both"/>
        <w:rPr>
          <w:rStyle w:val="tlid-translation"/>
          <w:i/>
          <w:iCs/>
          <w:lang w:val="be-BY"/>
        </w:rPr>
      </w:pPr>
      <w:r>
        <w:rPr>
          <w:rStyle w:val="tlid-translation"/>
          <w:lang w:val="be-BY"/>
        </w:rPr>
        <w:t xml:space="preserve">● </w:t>
      </w:r>
      <w:r w:rsidRPr="00431E34">
        <w:rPr>
          <w:rStyle w:val="tlid-translation"/>
          <w:i/>
          <w:iCs/>
          <w:lang w:val="be-BY"/>
        </w:rPr>
        <w:t>З ДАСТ 7566-94 «Металапрадукцыя. Прыёмка, маркіроўка, упакоўка, транспартаванне і захоўванне»:</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4.1 Маркіроўку наносяць непасрэдна на металапрадукцыю, калі яна не падлягае ўпакоўцы, і на цэтлікі, калі металапрадукцыя запакаваная ў пачкі, скруткі, рулоны, звязкі маткоў або ступні рулонаў.</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4.4 На металапрадукцыю, увязаную ў пачкі, наважваюць два цэтліка, у скруткі і рулоны – адзін. На металапрадукцыю, увязаную ў звязкі або ў ступні рулонаў, адзін ярлык наважваюць на адзін з маткоў або рулонаў і адзінна абвязку маткоў або ступні рулонаў.</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4.6 Пры ўпакоўцы лістоў і шырокапалоснага пракату ў пачкі маркіроўку наносяць на верхні ліст і паласу кожнай пачкі або на маркіровачную карту (ярлык), трывала прымацаваную да пачка.</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4.9 Неабходнасць паштучнай маркіроўкі металапрадукцыі, увязанай у пачкі, павінна быць устаноўлена ў нарматыўнай дакументацыі на металапрадукцыю дадзенага віду. У гэтым выпадку на пачак наважваюць адзін ярлык.</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5.1 Гатункавы, фасонных, калібраваны, халаднавыцягнуты пракат, дрот і круглы пракат са спецыяльнай аддзелкай паверхні і памерамі папярочнага перасеку (таўшчыня, дыяметр, бок квадрата, найбольшы памер для фасонных профіляў) да 50 мм уключна ўвязваюць у пачкі, скруткі або звязкі маткоў, а скр . 50 мм і нарыхтоўкі ўсіх відаў ўвязваюць у пачкі па патрабаванню спажыўца. Гнутыя профілі ўвязваюць у пачкі.</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 З ДАСТ 10692-80 «Трубы стальныя, чыгунныя і злучальныя часткі да іх. Прыёмка, маркіроўка, упакоўка, транспартаванне і захоўванне»:</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1.1. Маркіроўка сталёвых труб</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1.1.1. Маркіроўку наносяць на кожную трубу дыяметрам звыш 159 мм з таўшчынёй сценкі 3,5 мм і больш. Па патрабаванню спажыўца дапускаецца маркіраванне кожнай трубы дыяметрам ад 114 мм. У залежнасці ад дыяметра і таўшчыні сценкі труб маркіроўку наносяць кляйменнем, электрычным алоўкам або гумовым штампам (нязмыўнай фарбай), электрографам або нязмыўнай фарбай.</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Маркіроўку труб дыяметрам да 159 мм ўключна, труб, якія маюць светлую паверхню, а таксама халоднадэфармаваных труб у пакетах, наносяць на ярлык. Маркіроўку халоднадэфармаваных труб дыяметрам да 450 мм уключна, ўвязаных ў пакеты, дапускаецца наносіць на ярлык і на тры трубы кожнага пакета.</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1.1.5. На трубы дыяметрам да 250 мм, увязаныя ў пакеты, маркіроўку дапускаецца наносіць на ярлык.</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1.2. Маркіроўка чыгунных труб</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1.2.1. На кантавую або ўтвараючую паверхню раструба ліццём наносяць маркіроўку, якая змяшчае таварны знак прадпрыемства-вытворцы, год вырабу, умоўны праход у міліметрах.</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2.1. Упакоўка сталёвых труб</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lastRenderedPageBreak/>
        <w:t>2.1.1. Трубы дыяметрам да 159 мм павінны быць трывала ўвязаны ў пакеты або шчыльна выкладзены ў драўляныя скрыні ці рашоткі, вырабленыя па ДАСТ 2991, ДАСТ 24634э, ДАСТ 5959, або кантэйнеры, вырабленыя па ДАСТ 20435 і надзейна замацаваныя ўнутры тары ад вольнага перамяшчэння пры транспартаванні.</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У транспартныя пакеты па ўвязваюць трубы дыяметрам звыш 159 да 250 мм уключна і халоднадэфармаваныя трубы дыяметрам да 450 мм уключна.</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2.2. Упакоўка чыгунных труб</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2.2.1. Чыгунныя трубы з умоўным праходам да 150 мм уключна пры транспартаванні змяшаным чыгуначным і водным транспартам павінны быць шчыльна ўвязаныя ў транспартныя пакеты ў удпаведнасці з ДАСТ 21650 і іншай нарматыўнай дакументацыяй.</w:t>
      </w:r>
    </w:p>
    <w:p w:rsidR="000456D8" w:rsidRPr="00431E34" w:rsidRDefault="000456D8" w:rsidP="000456D8">
      <w:pPr>
        <w:pStyle w:val="a3"/>
        <w:spacing w:before="0" w:beforeAutospacing="0" w:after="70" w:afterAutospacing="0"/>
        <w:ind w:firstLine="360"/>
        <w:jc w:val="both"/>
        <w:rPr>
          <w:rStyle w:val="tlid-translation"/>
          <w:i/>
          <w:iCs/>
          <w:lang w:val="be-BY"/>
        </w:rPr>
      </w:pPr>
      <w:r w:rsidRPr="00431E34">
        <w:rPr>
          <w:rStyle w:val="tlid-translation"/>
          <w:i/>
          <w:iCs/>
          <w:lang w:val="be-BY"/>
        </w:rPr>
        <w:t>Трубы з умоўным праходам 200 мм і больш у пакеты не ўвязваюцца.</w:t>
      </w:r>
    </w:p>
    <w:p w:rsidR="00373947" w:rsidRPr="000456D8" w:rsidRDefault="000456D8" w:rsidP="000456D8">
      <w:pPr>
        <w:pStyle w:val="a3"/>
        <w:spacing w:before="0" w:beforeAutospacing="0" w:after="70" w:afterAutospacing="0"/>
        <w:ind w:firstLine="360"/>
        <w:jc w:val="both"/>
        <w:rPr>
          <w:i/>
          <w:iCs/>
          <w:lang w:val="be-BY"/>
        </w:rPr>
      </w:pPr>
      <w:r w:rsidRPr="00431E34">
        <w:rPr>
          <w:rStyle w:val="tlid-translation"/>
          <w:i/>
          <w:iCs/>
          <w:lang w:val="be-BY"/>
        </w:rPr>
        <w:t>Гладкія канцы чыгунных труб дыяметрам ад 200 мм і больш абмотваюцца пяньковай, гаспадарчай, шклотканай або палімернай вяроўкай або на іх надзяваюцца кольцы шырынёй не менш за 15 мм. Віткі вяроўкі павінны быць пакрытыя пластом саставу, якім пакрываюць трубы. Дапускаецца прымяняць драўляныя лачанні або іншыя сродкі, якія засцерагаюць трубы ад механічных пашкоджанняў.</w:t>
      </w:r>
      <w:bookmarkStart w:id="0" w:name="_GoBack"/>
      <w:bookmarkEnd w:id="0"/>
    </w:p>
    <w:sectPr w:rsidR="00373947" w:rsidRPr="000456D8" w:rsidSect="00676388">
      <w:pgSz w:w="16838" w:h="11906" w:orient="landscape"/>
      <w:pgMar w:top="1276"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D8"/>
    <w:rsid w:val="000456D8"/>
    <w:rsid w:val="00373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DFCA"/>
  <w15:chartTrackingRefBased/>
  <w15:docId w15:val="{4869D9B5-EE86-4E73-BCF9-B48E90ED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5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04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Троц Янина Романовна</dc:creator>
  <cp:keywords/>
  <dc:description/>
  <cp:lastModifiedBy>Троц Янина Романовна</cp:lastModifiedBy>
  <cp:revision>1</cp:revision>
  <dcterms:created xsi:type="dcterms:W3CDTF">2020-02-19T06:52:00Z</dcterms:created>
  <dcterms:modified xsi:type="dcterms:W3CDTF">2020-02-19T06:53:00Z</dcterms:modified>
</cp:coreProperties>
</file>